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ptos Display" w:hAnsi="Aptos Display"/>
          <w:b/>
          <w:color w:val="F28C28"/>
          <w:sz w:val="44"/>
        </w:rPr>
        <w:t>SYSTCOM</w:t>
      </w:r>
    </w:p>
    <w:p>
      <w:pPr>
        <w:pStyle w:val="Title"/>
      </w:pPr>
      <w:r>
        <w:t>ANEXO DE TRATAMIENTO DE DATOS PERSONALES (DPA)</w:t>
      </w:r>
    </w:p>
    <w:p>
      <w:pPr>
        <w:jc w:val="left"/>
      </w:pPr>
      <w:r>
        <w:rPr>
          <w:rFonts w:ascii="Aptos" w:hAnsi="Aptos"/>
          <w:color w:val="666666"/>
          <w:sz w:val="24"/>
        </w:rPr>
        <w:t>Preparado para la Ley N° 19.628 modificada por la Ley N° 21.719 - vigencia legal desde 1 de diciembre de 2026</w:t>
      </w:r>
    </w:p>
    <w:p/>
    <w:tbl>
      <w:tblPr>
        <w:tblStyle w:val="TableGrid"/>
        <w:tblW w:type="auto" w:w="0"/>
        <w:jc w:val="left"/>
        <w:tblLook w:firstColumn="1" w:firstRow="1" w:lastColumn="0" w:lastRow="0" w:noHBand="0" w:noVBand="1" w:val="04A0"/>
      </w:tblPr>
      <w:tblGrid>
        <w:gridCol w:w="4968"/>
        <w:gridCol w:w="4968"/>
      </w:tblGrid>
      <w:tr>
        <w:tc>
          <w:tcPr>
            <w:tcW w:type="dxa" w:w="4968"/>
            <w:shd w:fill="F4F4F4"/>
            <w:vAlign w:val="center"/>
          </w:tcPr>
          <w:p>
            <w:r>
              <w:rPr>
                <w:rFonts w:ascii="Aptos" w:hAnsi="Aptos"/>
                <w:b w:val="0"/>
                <w:sz w:val="19"/>
              </w:rPr>
              <w:t>Proveedor</w:t>
            </w:r>
          </w:p>
        </w:tc>
        <w:tc>
          <w:tcPr>
            <w:tcW w:type="dxa" w:w="4968"/>
            <w:vAlign w:val="center"/>
          </w:tcPr>
          <w:p>
            <w:r>
              <w:rPr>
                <w:rFonts w:ascii="Aptos" w:hAnsi="Aptos"/>
                <w:b w:val="0"/>
                <w:sz w:val="19"/>
              </w:rPr>
              <w:t>SYSTCOM LTDA. - RUT 76.559.505-3</w:t>
            </w:r>
          </w:p>
        </w:tc>
      </w:tr>
      <w:tr>
        <w:tc>
          <w:tcPr>
            <w:tcW w:type="dxa" w:w="4968"/>
            <w:shd w:fill="F4F4F4"/>
            <w:vAlign w:val="center"/>
          </w:tcPr>
          <w:p>
            <w:r>
              <w:rPr>
                <w:rFonts w:ascii="Aptos" w:hAnsi="Aptos"/>
                <w:b w:val="0"/>
                <w:sz w:val="19"/>
              </w:rPr>
              <w:t>Versión</w:t>
            </w:r>
          </w:p>
        </w:tc>
        <w:tc>
          <w:tcPr>
            <w:tcW w:type="dxa" w:w="4968"/>
            <w:vAlign w:val="center"/>
          </w:tcPr>
          <w:p>
            <w:r>
              <w:rPr>
                <w:rFonts w:ascii="Aptos" w:hAnsi="Aptos"/>
                <w:b w:val="0"/>
                <w:sz w:val="19"/>
              </w:rPr>
              <w:t>1.0 - septiembre 2026</w:t>
            </w:r>
          </w:p>
        </w:tc>
      </w:tr>
      <w:tr>
        <w:tc>
          <w:tcPr>
            <w:tcW w:type="dxa" w:w="4968"/>
            <w:shd w:fill="F4F4F4"/>
            <w:vAlign w:val="center"/>
          </w:tcPr>
          <w:p>
            <w:r>
              <w:rPr>
                <w:rFonts w:ascii="Aptos" w:hAnsi="Aptos"/>
                <w:b w:val="0"/>
                <w:sz w:val="19"/>
              </w:rPr>
              <w:t>Aplicación</w:t>
            </w:r>
          </w:p>
        </w:tc>
        <w:tc>
          <w:tcPr>
            <w:tcW w:type="dxa" w:w="4968"/>
            <w:vAlign w:val="center"/>
          </w:tcPr>
          <w:p>
            <w:r>
              <w:rPr>
                <w:rFonts w:ascii="Aptos" w:hAnsi="Aptos"/>
                <w:b w:val="0"/>
                <w:sz w:val="19"/>
              </w:rPr>
              <w:t>Servicios informáticos, ERP/Odoo, SaaS, cloud, infraestructura administrada, soporte, desarrollo e integraciones, según propuesta comercial.</w:t>
            </w:r>
          </w:p>
        </w:tc>
      </w:tr>
      <w:tr>
        <w:tc>
          <w:tcPr>
            <w:tcW w:type="dxa" w:w="4968"/>
            <w:shd w:fill="F4F4F4"/>
            <w:vAlign w:val="center"/>
          </w:tcPr>
          <w:p>
            <w:r>
              <w:rPr>
                <w:rFonts w:ascii="Aptos" w:hAnsi="Aptos"/>
                <w:b w:val="0"/>
                <w:sz w:val="19"/>
              </w:rPr>
              <w:t>Estado</w:t>
            </w:r>
          </w:p>
        </w:tc>
        <w:tc>
          <w:tcPr>
            <w:tcW w:type="dxa" w:w="4968"/>
            <w:vAlign w:val="center"/>
          </w:tcPr>
          <w:p>
            <w:r>
              <w:rPr>
                <w:rFonts w:ascii="Aptos" w:hAnsi="Aptos"/>
                <w:b w:val="0"/>
                <w:sz w:val="19"/>
              </w:rPr>
              <w:t>BORRADOR CONTRACTUAL PARA REVISIÓN LEGAL ANTES DE SU PUBLICACIÓN O FIRMA</w:t>
            </w:r>
          </w:p>
        </w:tc>
      </w:tr>
    </w:tbl>
    <w:p/>
    <w:p>
      <w:pPr>
        <w:pStyle w:val="LegalNote"/>
      </w:pPr>
      <w:r>
        <w:rPr>
          <w:b/>
        </w:rPr>
        <w:t xml:space="preserve">Nota: </w:t>
      </w:r>
      <w:r>
        <w:t>Este documento es una propuesta contractual de gestión de riesgos y operación tecnológica. Debe ser revisado por asesoría jurídica chilena antes de utilizarse como contrato definitivo. Cuando exista una propuesta comercial, orden de compra, SLA o anexo específico, éstos prevalecerán sólo respecto de la materia particular que regulen, conforme al orden de prelación definido en los Términos Generales.</w:t>
      </w:r>
    </w:p>
    <w:p>
      <w:r>
        <w:br w:type="page"/>
      </w:r>
    </w:p>
    <w:p>
      <w:pPr>
        <w:pStyle w:val="Heading1"/>
      </w:pPr>
      <w:r>
        <w:t>1. Partes y objeto</w:t>
      </w:r>
    </w:p>
    <w:p>
      <w:r>
        <w:t>Este Anexo de Tratamiento de Datos Personales (“DPA”) forma parte del contrato de servicios entre el Cliente y SYSTCOM LTDA. y regula el tratamiento de datos personales que SYSTCOM realice por cuenta del Cliente para prestar los servicios contratados.</w:t>
      </w:r>
    </w:p>
    <w:p>
      <w:r>
        <w:t>Las cláusulas destinadas a adecuarse a la Ley N° 19.628 en su texto modificado por la Ley N° 21.719 producirán efectos desde la fecha en que sean legalmente exigibles, sin perjuicio de que las partes puedan aplicar anticipadamente sus estándares de seguridad y confidencialidad.</w:t>
      </w:r>
    </w:p>
    <w:p>
      <w:pPr>
        <w:pStyle w:val="Heading1"/>
      </w:pPr>
      <w:r>
        <w:t>2. Roles</w:t>
      </w:r>
    </w:p>
    <w:p>
      <w:r>
        <w:t>Como regla general, el Cliente actúa como “responsable de datos” respecto de los datos personales que decide incorporar, recolectar o procesar mediante los servicios. SYSTCOM actúa como “tercero mandatario o encargado” respecto de los tratamientos estrictamente necesarios para alojar, administrar, mantener, respaldar, soportar o desarrollar la solución conforme a instrucciones del Cliente.</w:t>
      </w:r>
    </w:p>
    <w:p>
      <w:r>
        <w:t>Si una parte determina de manera independiente finalidades y medios de un tratamiento distinto del encargo, asumirá el rol y obligaciones que jurídicamente correspondan respecto de esa actividad particular.</w:t>
      </w:r>
    </w:p>
    <w:p>
      <w:pPr>
        <w:pStyle w:val="Heading1"/>
      </w:pPr>
      <w:r>
        <w:t>3. Descripción del encargo</w:t>
      </w:r>
    </w:p>
    <w:tbl>
      <w:tblPr>
        <w:tblStyle w:val="TableGrid"/>
        <w:tblW w:type="auto" w:w="0"/>
        <w:jc w:val="center"/>
        <w:tblLook w:firstColumn="1" w:firstRow="1" w:lastColumn="0" w:lastRow="0" w:noHBand="0" w:noVBand="1" w:val="04A0"/>
      </w:tblPr>
      <w:tblGrid>
        <w:gridCol w:w="4968"/>
        <w:gridCol w:w="4968"/>
      </w:tblGrid>
      <w:tr>
        <w:trPr>
          <w:tblHeader w:val="true"/>
          <w:cantSplit/>
        </w:trPr>
        <w:tc>
          <w:tcPr>
            <w:tcW w:type="dxa" w:w="2304"/>
            <w:shd w:fill="F28C28"/>
          </w:tcPr>
          <w:p>
            <w:r>
              <w:rPr>
                <w:rFonts w:ascii="Aptos" w:hAnsi="Aptos"/>
                <w:b/>
                <w:color w:val="FFFFFF"/>
                <w:sz w:val="18"/>
              </w:rPr>
              <w:t>Elemento</w:t>
            </w:r>
          </w:p>
        </w:tc>
        <w:tc>
          <w:tcPr>
            <w:tcW w:type="dxa" w:w="7920"/>
            <w:shd w:fill="F28C28"/>
          </w:tcPr>
          <w:p>
            <w:r>
              <w:rPr>
                <w:rFonts w:ascii="Aptos" w:hAnsi="Aptos"/>
                <w:b/>
                <w:color w:val="FFFFFF"/>
                <w:sz w:val="18"/>
              </w:rPr>
              <w:t>Descripción</w:t>
            </w:r>
          </w:p>
        </w:tc>
      </w:tr>
      <w:tr>
        <w:trPr>
          <w:cantSplit/>
        </w:trPr>
        <w:tc>
          <w:tcPr>
            <w:tcW w:type="dxa" w:w="2304"/>
            <w:vAlign w:val="top"/>
            <w:tcBorders>
              <w:top w:val="single" w:sz="4" w:color="D9D9D9"/>
              <w:left w:val="single" w:sz="4" w:color="D9D9D9"/>
              <w:bottom w:val="single" w:sz="4" w:color="D9D9D9"/>
              <w:right w:val="single" w:sz="4" w:color="D9D9D9"/>
            </w:tcBorders>
          </w:tcPr>
          <w:p>
            <w:r>
              <w:rPr>
                <w:rFonts w:ascii="Aptos" w:hAnsi="Aptos"/>
                <w:sz w:val="17"/>
              </w:rPr>
              <w:t>Objeto</w:t>
            </w:r>
          </w:p>
        </w:tc>
        <w:tc>
          <w:tcPr>
            <w:tcW w:type="dxa" w:w="7920"/>
            <w:vAlign w:val="top"/>
            <w:tcBorders>
              <w:top w:val="single" w:sz="4" w:color="D9D9D9"/>
              <w:left w:val="single" w:sz="4" w:color="D9D9D9"/>
              <w:bottom w:val="single" w:sz="4" w:color="D9D9D9"/>
              <w:right w:val="single" w:sz="4" w:color="D9D9D9"/>
            </w:tcBorders>
          </w:tcPr>
          <w:p>
            <w:r>
              <w:rPr>
                <w:rFonts w:ascii="Aptos" w:hAnsi="Aptos"/>
                <w:sz w:val="17"/>
              </w:rPr>
              <w:t>Prestación de los servicios informáticos descritos en la propuesta comercial, que pueden involucrar alojamiento, soporte, administración, respaldo, implementación, desarrollo o integración.</w:t>
            </w:r>
          </w:p>
        </w:tc>
      </w:tr>
      <w:tr>
        <w:trPr>
          <w:cantSplit/>
        </w:trPr>
        <w:tc>
          <w:tcPr>
            <w:tcW w:type="dxa" w:w="2304"/>
            <w:vAlign w:val="top"/>
            <w:tcBorders>
              <w:top w:val="single" w:sz="4" w:color="D9D9D9"/>
              <w:left w:val="single" w:sz="4" w:color="D9D9D9"/>
              <w:bottom w:val="single" w:sz="4" w:color="D9D9D9"/>
              <w:right w:val="single" w:sz="4" w:color="D9D9D9"/>
            </w:tcBorders>
          </w:tcPr>
          <w:p>
            <w:r>
              <w:rPr>
                <w:rFonts w:ascii="Aptos" w:hAnsi="Aptos"/>
                <w:sz w:val="17"/>
              </w:rPr>
              <w:t>Duración</w:t>
            </w:r>
          </w:p>
        </w:tc>
        <w:tc>
          <w:tcPr>
            <w:tcW w:type="dxa" w:w="7920"/>
            <w:vAlign w:val="top"/>
            <w:tcBorders>
              <w:top w:val="single" w:sz="4" w:color="D9D9D9"/>
              <w:left w:val="single" w:sz="4" w:color="D9D9D9"/>
              <w:bottom w:val="single" w:sz="4" w:color="D9D9D9"/>
              <w:right w:val="single" w:sz="4" w:color="D9D9D9"/>
            </w:tcBorders>
          </w:tcPr>
          <w:p>
            <w:r>
              <w:rPr>
                <w:rFonts w:ascii="Aptos" w:hAnsi="Aptos"/>
                <w:sz w:val="17"/>
              </w:rPr>
              <w:t>Durante la vigencia del contrato y el período de devolución/eliminación posterior.</w:t>
            </w:r>
          </w:p>
        </w:tc>
      </w:tr>
      <w:tr>
        <w:trPr>
          <w:cantSplit/>
        </w:trPr>
        <w:tc>
          <w:tcPr>
            <w:tcW w:type="dxa" w:w="2304"/>
            <w:vAlign w:val="top"/>
            <w:tcBorders>
              <w:top w:val="single" w:sz="4" w:color="D9D9D9"/>
              <w:left w:val="single" w:sz="4" w:color="D9D9D9"/>
              <w:bottom w:val="single" w:sz="4" w:color="D9D9D9"/>
              <w:right w:val="single" w:sz="4" w:color="D9D9D9"/>
            </w:tcBorders>
          </w:tcPr>
          <w:p>
            <w:r>
              <w:rPr>
                <w:rFonts w:ascii="Aptos" w:hAnsi="Aptos"/>
                <w:sz w:val="17"/>
              </w:rPr>
              <w:t>Finalidad</w:t>
            </w:r>
          </w:p>
        </w:tc>
        <w:tc>
          <w:tcPr>
            <w:tcW w:type="dxa" w:w="7920"/>
            <w:vAlign w:val="top"/>
            <w:tcBorders>
              <w:top w:val="single" w:sz="4" w:color="D9D9D9"/>
              <w:left w:val="single" w:sz="4" w:color="D9D9D9"/>
              <w:bottom w:val="single" w:sz="4" w:color="D9D9D9"/>
              <w:right w:val="single" w:sz="4" w:color="D9D9D9"/>
            </w:tcBorders>
          </w:tcPr>
          <w:p>
            <w:r>
              <w:rPr>
                <w:rFonts w:ascii="Aptos" w:hAnsi="Aptos"/>
                <w:sz w:val="17"/>
              </w:rPr>
              <w:t>Permitir la operación del servicio contratado y ejecutar actividades técnicas necesarias para su prestación, seguridad, mantenimiento, soporte y continuidad.</w:t>
            </w:r>
          </w:p>
        </w:tc>
      </w:tr>
      <w:tr>
        <w:trPr>
          <w:cantSplit/>
        </w:trPr>
        <w:tc>
          <w:tcPr>
            <w:tcW w:type="dxa" w:w="2304"/>
            <w:vAlign w:val="top"/>
            <w:tcBorders>
              <w:top w:val="single" w:sz="4" w:color="D9D9D9"/>
              <w:left w:val="single" w:sz="4" w:color="D9D9D9"/>
              <w:bottom w:val="single" w:sz="4" w:color="D9D9D9"/>
              <w:right w:val="single" w:sz="4" w:color="D9D9D9"/>
            </w:tcBorders>
          </w:tcPr>
          <w:p>
            <w:r>
              <w:rPr>
                <w:rFonts w:ascii="Aptos" w:hAnsi="Aptos"/>
                <w:sz w:val="17"/>
              </w:rPr>
              <w:t>Naturaleza de operaciones</w:t>
            </w:r>
          </w:p>
        </w:tc>
        <w:tc>
          <w:tcPr>
            <w:tcW w:type="dxa" w:w="7920"/>
            <w:vAlign w:val="top"/>
            <w:tcBorders>
              <w:top w:val="single" w:sz="4" w:color="D9D9D9"/>
              <w:left w:val="single" w:sz="4" w:color="D9D9D9"/>
              <w:bottom w:val="single" w:sz="4" w:color="D9D9D9"/>
              <w:right w:val="single" w:sz="4" w:color="D9D9D9"/>
            </w:tcBorders>
          </w:tcPr>
          <w:p>
            <w:r>
              <w:rPr>
                <w:rFonts w:ascii="Aptos" w:hAnsi="Aptos"/>
                <w:sz w:val="17"/>
              </w:rPr>
              <w:t>Acceso, almacenamiento, consulta, organización, transmisión técnica, respaldo, restauración, modificación técnica, migración y supresión, sólo en la medida necesaria.</w:t>
            </w:r>
          </w:p>
        </w:tc>
      </w:tr>
      <w:tr>
        <w:trPr>
          <w:cantSplit/>
        </w:trPr>
        <w:tc>
          <w:tcPr>
            <w:tcW w:type="dxa" w:w="2304"/>
            <w:vAlign w:val="top"/>
            <w:tcBorders>
              <w:top w:val="single" w:sz="4" w:color="D9D9D9"/>
              <w:left w:val="single" w:sz="4" w:color="D9D9D9"/>
              <w:bottom w:val="single" w:sz="4" w:color="D9D9D9"/>
              <w:right w:val="single" w:sz="4" w:color="D9D9D9"/>
            </w:tcBorders>
          </w:tcPr>
          <w:p>
            <w:r>
              <w:rPr>
                <w:rFonts w:ascii="Aptos" w:hAnsi="Aptos"/>
                <w:sz w:val="17"/>
              </w:rPr>
              <w:t>Instrucciones iniciales</w:t>
            </w:r>
          </w:p>
        </w:tc>
        <w:tc>
          <w:tcPr>
            <w:tcW w:type="dxa" w:w="7920"/>
            <w:vAlign w:val="top"/>
            <w:tcBorders>
              <w:top w:val="single" w:sz="4" w:color="D9D9D9"/>
              <w:left w:val="single" w:sz="4" w:color="D9D9D9"/>
              <w:bottom w:val="single" w:sz="4" w:color="D9D9D9"/>
              <w:right w:val="single" w:sz="4" w:color="D9D9D9"/>
            </w:tcBorders>
          </w:tcPr>
          <w:p>
            <w:r>
              <w:rPr>
                <w:rFonts w:ascii="Aptos" w:hAnsi="Aptos"/>
                <w:sz w:val="17"/>
              </w:rPr>
              <w:t>El contrato, la propuesta, este DPA, tickets válidos y demás instrucciones documentadas del Cliente.</w:t>
            </w:r>
          </w:p>
        </w:tc>
      </w:tr>
    </w:tbl>
    <w:p/>
    <w:p>
      <w:pPr>
        <w:pStyle w:val="Heading1"/>
      </w:pPr>
      <w:r>
        <w:t>4. Instrucciones del Cliente</w:t>
      </w:r>
    </w:p>
    <w:p>
      <w:r>
        <w:t>SYSTCOM tratará los datos personales únicamente conforme al encargo y a las instrucciones documentadas del Cliente, salvo que una norma aplicable exija otro tratamiento. SYSTCOM no utilizará los datos para finalidades propias incompatibles con el servicio, ni los cederá a terceros salvo autorización válida del Cliente, necesidad de subencargo autorizado o exigencia legal.</w:t>
      </w:r>
    </w:p>
    <w:p>
      <w:r>
        <w:t>Si SYSTCOM considera que una instrucción puede infringir la normativa de protección de datos, podrá advertirlo y suspender su ejecución hasta que exista aclaración razonable, cuando ello sea necesario para evitar una infracción.</w:t>
      </w:r>
    </w:p>
    <w:p>
      <w:pPr>
        <w:pStyle w:val="Heading1"/>
      </w:pPr>
      <w:r>
        <w:t>5. Obligaciones del Cliente como responsable</w:t>
      </w:r>
    </w:p>
    <w:p>
      <w:pPr>
        <w:pStyle w:val="ListBullet"/>
        <w:spacing w:after="40"/>
      </w:pPr>
      <w:r>
        <w:t>Determinar y documentar la base de licitud de los tratamientos.</w:t>
      </w:r>
    </w:p>
    <w:p>
      <w:pPr>
        <w:pStyle w:val="ListBullet"/>
        <w:spacing w:after="40"/>
      </w:pPr>
      <w:r>
        <w:t>Cumplir los deberes de información y transparencia frente a titulares.</w:t>
      </w:r>
    </w:p>
    <w:p>
      <w:pPr>
        <w:pStyle w:val="ListBullet"/>
        <w:spacing w:after="40"/>
      </w:pPr>
      <w:r>
        <w:t>Atender derechos de acceso, rectificación, supresión, oposición, portabilidad y demás derechos aplicables.</w:t>
      </w:r>
    </w:p>
    <w:p>
      <w:pPr>
        <w:pStyle w:val="ListBullet"/>
        <w:spacing w:after="40"/>
      </w:pPr>
      <w:r>
        <w:t>Mantener calidad, exactitud y pertinencia de los datos cuando ello dependa de sus procesos.</w:t>
      </w:r>
    </w:p>
    <w:p>
      <w:pPr>
        <w:pStyle w:val="ListBullet"/>
        <w:spacing w:after="40"/>
      </w:pPr>
      <w:r>
        <w:t>Definir plazos de conservación y reglas de eliminación.</w:t>
      </w:r>
    </w:p>
    <w:p>
      <w:pPr>
        <w:pStyle w:val="ListBullet"/>
        <w:spacing w:after="40"/>
      </w:pPr>
      <w:r>
        <w:t>Determinar si el servicio puede tratar datos sensibles, de niños, financieros u otras categorías de mayor riesgo y comunicar requisitos especiales a SYSTCOM antes de iniciar el tratamiento.</w:t>
      </w:r>
    </w:p>
    <w:p>
      <w:pPr>
        <w:pStyle w:val="ListBullet"/>
        <w:spacing w:after="40"/>
      </w:pPr>
      <w:r>
        <w:t>Realizar evaluaciones de impacto cuando sean legalmente exigibles y definir instrucciones compatibles con sus resultados.</w:t>
      </w:r>
    </w:p>
    <w:p>
      <w:pPr>
        <w:pStyle w:val="ListBullet"/>
        <w:spacing w:after="40"/>
      </w:pPr>
      <w:r>
        <w:t>Contar con autorizaciones para transferencias, comunicaciones o accesos de terceros que instruya.</w:t>
      </w:r>
    </w:p>
    <w:p>
      <w:pPr>
        <w:pStyle w:val="Heading1"/>
      </w:pPr>
      <w:r>
        <w:t>6. Confidencialidad y personal autorizado</w:t>
      </w:r>
    </w:p>
    <w:p>
      <w:r>
        <w:t>SYSTCOM limitará el acceso a datos personales a personal y colaboradores que necesiten dicho acceso para prestar el servicio y que se encuentren sujetos a obligaciones de confidencialidad. El deber de confidencialidad subsistirá después de terminar la relación laboral, profesional o contractual en la medida exigida por la normativa aplicable.</w:t>
      </w:r>
    </w:p>
    <w:p>
      <w:pPr>
        <w:pStyle w:val="Heading1"/>
      </w:pPr>
      <w:r>
        <w:t>7. Medidas técnicas y organizativas</w:t>
      </w:r>
    </w:p>
    <w:p>
      <w:r>
        <w:t>SYSTCOM aplicará medidas técnicas y organizativas apropiadas al riesgo, considerando el estado de la técnica, costos de implementación, naturaleza, alcance, contexto y finalidad del tratamiento. Las medidas específicas dependerán del servicio y arquitectura contratados. El Anexo C describe controles de referencia.</w:t>
      </w:r>
    </w:p>
    <w:p>
      <w:r>
        <w:t>Ninguna medida de seguridad elimina por completo el riesgo. Las obligaciones de seguridad se interpretarán como obligaciones de diligencia y gestión apropiada del riesgo, sin perjuicio de los estándares imperativos que establezca la legislación.</w:t>
      </w:r>
    </w:p>
    <w:p>
      <w:pPr>
        <w:pStyle w:val="Heading1"/>
      </w:pPr>
      <w:r>
        <w:t>8. Vulneraciones e incidentes de seguridad</w:t>
      </w:r>
    </w:p>
    <w:p>
      <w:r>
        <w:t>Cuando SYSTCOM, actuando como encargado, tome conocimiento de una vulneración de seguridad que afecte datos personales tratados por cuenta del Cliente, informará al Cliente sin dilaciones indebidas, una vez que cuente con antecedentes razonables para identificar el incidente, y entregará la información disponible necesaria para apoyar el cumplimiento de las obligaciones legales del Cliente.</w:t>
      </w:r>
    </w:p>
    <w:p>
      <w:r>
        <w:t>La información podrá entregarse por etapas a medida que avance la investigación. La notificación no constituirá reconocimiento de responsabilidad. Salvo obligación legal directa aplicable a SYSTCOM, corresponderá al Cliente, como responsable, determinar y realizar las comunicaciones a la autoridad y titulares.</w:t>
      </w:r>
    </w:p>
    <w:p>
      <w:pPr>
        <w:pStyle w:val="Heading1"/>
      </w:pPr>
      <w:r>
        <w:t>9. Solicitudes de titulares</w:t>
      </w:r>
    </w:p>
    <w:p>
      <w:r>
        <w:t>Si SYSTCOM recibe directamente una solicitud de un titular relativa a datos controlados por el Cliente, la remitirá al Cliente cuando resulte razonablemente identificable, sin responder sobre el fondo salvo instrucción o exigencia legal. SYSTCOM prestará asistencia razonable mediante funcionalidades disponibles o servicios profesionales cuando se requiera una intervención adicional.</w:t>
      </w:r>
    </w:p>
    <w:p>
      <w:pPr>
        <w:pStyle w:val="Heading1"/>
      </w:pPr>
      <w:r>
        <w:t>10. Subencargados</w:t>
      </w:r>
    </w:p>
    <w:p>
      <w:r>
        <w:t>SYSTCOM no delegará parte o la totalidad del tratamiento a un subencargado sin autorización específica y por escrito del Cliente, conforme a la normativa aplicable. Para estos efectos, el Cliente podrá otorgar autorización específica mediante la firma o aceptación del Anexo B, que deberá individualizar a cada subencargado autorizado y su función.</w:t>
      </w:r>
    </w:p>
    <w:p>
      <w:r>
        <w:t>SYSTCOM celebrará con cada subencargado autorizado compromisos de protección de datos consistentes con este DPA en la medida exigida por la ley y continuará sujeto a las responsabilidades que legalmente correspondan por el subencargo.</w:t>
      </w:r>
    </w:p>
    <w:p>
      <w:r>
        <w:t>La incorporación de un nuevo subencargado que trate datos personales del Cliente requerirá actualizar la autorización correspondiente antes de iniciar dicho tratamiento, salvo una excepción legal aplicable.</w:t>
      </w:r>
    </w:p>
    <w:p>
      <w:pPr>
        <w:pStyle w:val="Heading1"/>
      </w:pPr>
      <w:r>
        <w:t>11. Transferencias internacionales</w:t>
      </w:r>
    </w:p>
    <w:p>
      <w:r>
        <w:t>Cuando la prestación implique transferencia internacional de datos personales, las partes utilizarán una base válida conforme a la legislación chilena aplicable, incluyendo país adecuado, cláusulas contractuales u otros instrumentos que otorguen garantías adecuadas, mecanismos de certificación o una excepción legal para transferencias específicas, según corresponda.</w:t>
      </w:r>
    </w:p>
    <w:p>
      <w:r>
        <w:t>La propuesta o Anexo B deberá identificar, cuando sea aplicable, la ubicación o país del proveedor receptor y el mecanismo utilizado. El Cliente autoriza únicamente las transferencias necesarias para los subencargos y servicios expresamente aceptados.</w:t>
      </w:r>
    </w:p>
    <w:p>
      <w:pPr>
        <w:pStyle w:val="Heading1"/>
      </w:pPr>
      <w:r>
        <w:t>12. Auditoría y evidencia de cumplimiento</w:t>
      </w:r>
    </w:p>
    <w:p>
      <w:r>
        <w:t>SYSTCOM pondrá a disposición del Cliente información razonablemente necesaria para acreditar las medidas aplicables al servicio, incluyendo políticas, descripciones técnicas o certificaciones disponibles. Si dicha información no resulta suficiente para una obligación legal concreta, el Cliente podrá solicitar una auditoría razonable.</w:t>
      </w:r>
    </w:p>
    <w:p>
      <w:r>
        <w:t>Salvo exigencia de autoridad o incidente material, las auditorías se coordinarán con al menos treinta (30) días de anticipación, durante horario hábil, no más de una vez al año, por personal calificado sujeto a confidencialidad y sin comprometer información de otros clientes. Los costos serán de cargo del Cliente, salvo que la auditoría identifique un incumplimiento material imputable a SYSTCOM que legal o contractualmente deba asumir.</w:t>
      </w:r>
    </w:p>
    <w:p>
      <w:pPr>
        <w:pStyle w:val="Heading1"/>
      </w:pPr>
      <w:r>
        <w:t>13. Evaluaciones de impacto y cooperación</w:t>
      </w:r>
    </w:p>
    <w:p>
      <w:r>
        <w:t>SYSTCOM proporcionará información general razonablemente disponible sobre el servicio para que el Cliente realice evaluaciones de impacto o consultas regulatorias. Asistencia específica, elaboración de documentación del Cliente, cambios de arquitectura o trabajos adicionales podrán cotizarse como servicios profesionales, salvo que sean necesarios para corregir un incumplimiento imputable a SYSTCOM.</w:t>
      </w:r>
    </w:p>
    <w:p>
      <w:pPr>
        <w:pStyle w:val="Heading1"/>
      </w:pPr>
      <w:r>
        <w:t>14. Devolución y supresión</w:t>
      </w:r>
    </w:p>
    <w:p>
      <w:r>
        <w:t>Cumplida la prestación del servicio, SYSTCOM devolverá o suprimirá los datos personales según corresponda y conforme a la instrucción del Cliente, al período de salida definido en los Términos Generales y a los ciclos de respaldo, salvo que una obligación legal exija conservarlos por un período adicional.</w:t>
      </w:r>
    </w:p>
    <w:p>
      <w:r>
        <w:t>La eliminación de respaldos se producirá conforme a sus ciclos ordinarios de retención. Mientras permanezcan en una copia de seguridad protegida, los datos no serán utilizados para finalidades distintas de recuperación, seguridad o cumplimiento legal.</w:t>
      </w:r>
    </w:p>
    <w:p>
      <w:pPr>
        <w:pStyle w:val="Heading1"/>
      </w:pPr>
      <w:r>
        <w:t>15. Responsabilidad</w:t>
      </w:r>
    </w:p>
    <w:p>
      <w:r>
        <w:t>La responsabilidad contractual entre las partes se regirá por los Términos Generales, sin perjuicio de las obligaciones y responsabilidades que la legislación de protección de datos establezca como imperativas y que no puedan ser limitadas por contrato.</w:t>
      </w:r>
    </w:p>
    <w:p>
      <w:pPr>
        <w:pStyle w:val="Heading1"/>
      </w:pPr>
      <w:r>
        <w:t>16. Vigencia y prevalencia</w:t>
      </w:r>
    </w:p>
    <w:p>
      <w:r>
        <w:t>Este DPA estará vigente mientras SYSTCOM trate datos personales por cuenta del Cliente. En caso de conflicto, este DPA prevalecerá sobre los Términos Generales exclusivamente respecto del tratamiento de datos personales.</w:t>
      </w:r>
    </w:p>
    <w:p>
      <w:pPr>
        <w:pStyle w:val="Heading1"/>
      </w:pPr>
      <w:r>
        <w:t>ANEXO A. Categorías de datos y titulares</w:t>
      </w:r>
    </w:p>
    <w:p>
      <w:r>
        <w:t>Las partes deberán marcar o completar las categorías efectivamente aplicables antes de la puesta en producción cuando el servicio trate datos personales.</w:t>
      </w:r>
    </w:p>
    <w:tbl>
      <w:tblPr>
        <w:tblStyle w:val="TableGrid"/>
        <w:tblW w:type="auto" w:w="0"/>
        <w:jc w:val="center"/>
        <w:tblLook w:firstColumn="1" w:firstRow="1" w:lastColumn="0" w:lastRow="0" w:noHBand="0" w:noVBand="1" w:val="04A0"/>
      </w:tblPr>
      <w:tblGrid>
        <w:gridCol w:w="4968"/>
        <w:gridCol w:w="4968"/>
      </w:tblGrid>
      <w:tr>
        <w:trPr>
          <w:tblHeader w:val="true"/>
          <w:cantSplit/>
        </w:trPr>
        <w:tc>
          <w:tcPr>
            <w:tcW w:type="dxa" w:w="3312"/>
            <w:shd w:fill="F28C28"/>
          </w:tcPr>
          <w:p>
            <w:r>
              <w:rPr>
                <w:rFonts w:ascii="Aptos" w:hAnsi="Aptos"/>
                <w:b/>
                <w:color w:val="FFFFFF"/>
                <w:sz w:val="18"/>
              </w:rPr>
              <w:t>Categorías de titulares</w:t>
            </w:r>
          </w:p>
        </w:tc>
        <w:tc>
          <w:tcPr>
            <w:tcW w:type="dxa" w:w="6912"/>
            <w:shd w:fill="F28C28"/>
          </w:tcPr>
          <w:p>
            <w:r>
              <w:rPr>
                <w:rFonts w:ascii="Aptos" w:hAnsi="Aptos"/>
                <w:b/>
                <w:color w:val="FFFFFF"/>
                <w:sz w:val="18"/>
              </w:rPr>
              <w:t>Ejemplos de datos potencialmente tratados</w:t>
            </w:r>
          </w:p>
        </w:tc>
      </w:tr>
      <w:tr>
        <w:trPr>
          <w:cantSplit/>
        </w:trPr>
        <w:tc>
          <w:tcPr>
            <w:tcW w:type="dxa" w:w="3312"/>
            <w:vAlign w:val="top"/>
            <w:tcBorders>
              <w:top w:val="single" w:sz="4" w:color="D9D9D9"/>
              <w:left w:val="single" w:sz="4" w:color="D9D9D9"/>
              <w:bottom w:val="single" w:sz="4" w:color="D9D9D9"/>
              <w:right w:val="single" w:sz="4" w:color="D9D9D9"/>
            </w:tcBorders>
          </w:tcPr>
          <w:p>
            <w:r>
              <w:rPr>
                <w:rFonts w:ascii="Aptos" w:hAnsi="Aptos"/>
                <w:sz w:val="17"/>
              </w:rPr>
              <w:t>Clientes y prospectos del Cliente</w:t>
            </w:r>
          </w:p>
        </w:tc>
        <w:tc>
          <w:tcPr>
            <w:tcW w:type="dxa" w:w="6912"/>
            <w:vAlign w:val="top"/>
            <w:tcBorders>
              <w:top w:val="single" w:sz="4" w:color="D9D9D9"/>
              <w:left w:val="single" w:sz="4" w:color="D9D9D9"/>
              <w:bottom w:val="single" w:sz="4" w:color="D9D9D9"/>
              <w:right w:val="single" w:sz="4" w:color="D9D9D9"/>
            </w:tcBorders>
          </w:tcPr>
          <w:p>
            <w:r>
              <w:rPr>
                <w:rFonts w:ascii="Aptos" w:hAnsi="Aptos"/>
                <w:sz w:val="17"/>
              </w:rPr>
              <w:t>Nombre, RUT/identificación, correo, teléfono, dirección, historial comercial, documentos transaccionales.</w:t>
            </w:r>
          </w:p>
        </w:tc>
      </w:tr>
      <w:tr>
        <w:trPr>
          <w:cantSplit/>
        </w:trPr>
        <w:tc>
          <w:tcPr>
            <w:tcW w:type="dxa" w:w="3312"/>
            <w:vAlign w:val="top"/>
            <w:tcBorders>
              <w:top w:val="single" w:sz="4" w:color="D9D9D9"/>
              <w:left w:val="single" w:sz="4" w:color="D9D9D9"/>
              <w:bottom w:val="single" w:sz="4" w:color="D9D9D9"/>
              <w:right w:val="single" w:sz="4" w:color="D9D9D9"/>
            </w:tcBorders>
          </w:tcPr>
          <w:p>
            <w:r>
              <w:rPr>
                <w:rFonts w:ascii="Aptos" w:hAnsi="Aptos"/>
                <w:sz w:val="17"/>
              </w:rPr>
              <w:t>Trabajadores y colaboradores</w:t>
            </w:r>
          </w:p>
        </w:tc>
        <w:tc>
          <w:tcPr>
            <w:tcW w:type="dxa" w:w="6912"/>
            <w:vAlign w:val="top"/>
            <w:tcBorders>
              <w:top w:val="single" w:sz="4" w:color="D9D9D9"/>
              <w:left w:val="single" w:sz="4" w:color="D9D9D9"/>
              <w:bottom w:val="single" w:sz="4" w:color="D9D9D9"/>
              <w:right w:val="single" w:sz="4" w:color="D9D9D9"/>
            </w:tcBorders>
          </w:tcPr>
          <w:p>
            <w:r>
              <w:rPr>
                <w:rFonts w:ascii="Aptos" w:hAnsi="Aptos"/>
                <w:sz w:val="17"/>
              </w:rPr>
              <w:t>Identificación, datos de contacto, organización, asistencia, remuneraciones u otros datos sólo si los módulos contratados los procesan.</w:t>
            </w:r>
          </w:p>
        </w:tc>
      </w:tr>
      <w:tr>
        <w:trPr>
          <w:cantSplit/>
        </w:trPr>
        <w:tc>
          <w:tcPr>
            <w:tcW w:type="dxa" w:w="3312"/>
            <w:vAlign w:val="top"/>
            <w:tcBorders>
              <w:top w:val="single" w:sz="4" w:color="D9D9D9"/>
              <w:left w:val="single" w:sz="4" w:color="D9D9D9"/>
              <w:bottom w:val="single" w:sz="4" w:color="D9D9D9"/>
              <w:right w:val="single" w:sz="4" w:color="D9D9D9"/>
            </w:tcBorders>
          </w:tcPr>
          <w:p>
            <w:r>
              <w:rPr>
                <w:rFonts w:ascii="Aptos" w:hAnsi="Aptos"/>
                <w:sz w:val="17"/>
              </w:rPr>
              <w:t>Proveedores y contactos</w:t>
            </w:r>
          </w:p>
        </w:tc>
        <w:tc>
          <w:tcPr>
            <w:tcW w:type="dxa" w:w="6912"/>
            <w:vAlign w:val="top"/>
            <w:tcBorders>
              <w:top w:val="single" w:sz="4" w:color="D9D9D9"/>
              <w:left w:val="single" w:sz="4" w:color="D9D9D9"/>
              <w:bottom w:val="single" w:sz="4" w:color="D9D9D9"/>
              <w:right w:val="single" w:sz="4" w:color="D9D9D9"/>
            </w:tcBorders>
          </w:tcPr>
          <w:p>
            <w:r>
              <w:rPr>
                <w:rFonts w:ascii="Aptos" w:hAnsi="Aptos"/>
                <w:sz w:val="17"/>
              </w:rPr>
              <w:t>Identificación, contacto, información comercial y bancaria necesaria para procesos autorizados.</w:t>
            </w:r>
          </w:p>
        </w:tc>
      </w:tr>
      <w:tr>
        <w:trPr>
          <w:cantSplit/>
        </w:trPr>
        <w:tc>
          <w:tcPr>
            <w:tcW w:type="dxa" w:w="3312"/>
            <w:vAlign w:val="top"/>
            <w:tcBorders>
              <w:top w:val="single" w:sz="4" w:color="D9D9D9"/>
              <w:left w:val="single" w:sz="4" w:color="D9D9D9"/>
              <w:bottom w:val="single" w:sz="4" w:color="D9D9D9"/>
              <w:right w:val="single" w:sz="4" w:color="D9D9D9"/>
            </w:tcBorders>
          </w:tcPr>
          <w:p>
            <w:r>
              <w:rPr>
                <w:rFonts w:ascii="Aptos" w:hAnsi="Aptos"/>
                <w:sz w:val="17"/>
              </w:rPr>
              <w:t>Usuarios del sistema</w:t>
            </w:r>
          </w:p>
        </w:tc>
        <w:tc>
          <w:tcPr>
            <w:tcW w:type="dxa" w:w="6912"/>
            <w:vAlign w:val="top"/>
            <w:tcBorders>
              <w:top w:val="single" w:sz="4" w:color="D9D9D9"/>
              <w:left w:val="single" w:sz="4" w:color="D9D9D9"/>
              <w:bottom w:val="single" w:sz="4" w:color="D9D9D9"/>
              <w:right w:val="single" w:sz="4" w:color="D9D9D9"/>
            </w:tcBorders>
          </w:tcPr>
          <w:p>
            <w:r>
              <w:rPr>
                <w:rFonts w:ascii="Aptos" w:hAnsi="Aptos"/>
                <w:sz w:val="17"/>
              </w:rPr>
              <w:t>Nombre, correo, rol, logs, dirección IP y actividad técnica necesaria para seguridad y soporte.</w:t>
            </w:r>
          </w:p>
        </w:tc>
      </w:tr>
      <w:tr>
        <w:trPr>
          <w:cantSplit/>
        </w:trPr>
        <w:tc>
          <w:tcPr>
            <w:tcW w:type="dxa" w:w="3312"/>
            <w:vAlign w:val="top"/>
            <w:tcBorders>
              <w:top w:val="single" w:sz="4" w:color="D9D9D9"/>
              <w:left w:val="single" w:sz="4" w:color="D9D9D9"/>
              <w:bottom w:val="single" w:sz="4" w:color="D9D9D9"/>
              <w:right w:val="single" w:sz="4" w:color="D9D9D9"/>
            </w:tcBorders>
          </w:tcPr>
          <w:p>
            <w:r>
              <w:rPr>
                <w:rFonts w:ascii="Aptos" w:hAnsi="Aptos"/>
                <w:sz w:val="17"/>
              </w:rPr>
              <w:t>Otros titulares definidos por el Cliente</w:t>
            </w:r>
          </w:p>
        </w:tc>
        <w:tc>
          <w:tcPr>
            <w:tcW w:type="dxa" w:w="6912"/>
            <w:vAlign w:val="top"/>
            <w:tcBorders>
              <w:top w:val="single" w:sz="4" w:color="D9D9D9"/>
              <w:left w:val="single" w:sz="4" w:color="D9D9D9"/>
              <w:bottom w:val="single" w:sz="4" w:color="D9D9D9"/>
              <w:right w:val="single" w:sz="4" w:color="D9D9D9"/>
            </w:tcBorders>
          </w:tcPr>
          <w:p>
            <w:r>
              <w:rPr>
                <w:rFonts w:ascii="Aptos" w:hAnsi="Aptos"/>
                <w:sz w:val="17"/>
              </w:rPr>
              <w:t>Especificar en la propuesta o anexo particular.</w:t>
            </w:r>
          </w:p>
        </w:tc>
      </w:tr>
    </w:tbl>
    <w:p/>
    <w:p>
      <w:r>
        <w:t>Datos sensibles o categorías de alto riesgo: sólo se entenderán incluidos cuando el Cliente los identifique expresamente y confirme que cuenta con base legal y medidas apropiadas. SYSTCOM podrá exigir controles o un plan técnico adicional.</w:t>
      </w:r>
    </w:p>
    <w:p>
      <w:pPr>
        <w:pStyle w:val="Heading1"/>
      </w:pPr>
      <w:r>
        <w:t>ANEXO B. Autorización específica de subencargados y transferencias</w:t>
      </w:r>
    </w:p>
    <w:p>
      <w:r>
        <w:t>Debe completarse y ser aceptado por ambas partes para los subencargados que efectivamente tratarán datos personales.</w:t>
      </w:r>
    </w:p>
    <w:tbl>
      <w:tblPr>
        <w:tblStyle w:val="TableGrid"/>
        <w:tblW w:type="auto" w:w="0"/>
        <w:jc w:val="center"/>
        <w:tblLook w:firstColumn="1" w:firstRow="1" w:lastColumn="0" w:lastRow="0" w:noHBand="0" w:noVBand="1" w:val="04A0"/>
      </w:tblPr>
      <w:tblGrid>
        <w:gridCol w:w="1987"/>
        <w:gridCol w:w="1987"/>
        <w:gridCol w:w="1987"/>
        <w:gridCol w:w="1987"/>
        <w:gridCol w:w="1987"/>
      </w:tblGrid>
      <w:tr>
        <w:trPr>
          <w:tblHeader w:val="true"/>
          <w:cantSplit/>
        </w:trPr>
        <w:tc>
          <w:tcPr>
            <w:tcW w:type="dxa" w:w="2448"/>
            <w:shd w:fill="F28C28"/>
          </w:tcPr>
          <w:p>
            <w:r>
              <w:rPr>
                <w:rFonts w:ascii="Aptos" w:hAnsi="Aptos"/>
                <w:b/>
                <w:color w:val="FFFFFF"/>
                <w:sz w:val="18"/>
              </w:rPr>
              <w:t>Proveedor / subencargado</w:t>
            </w:r>
          </w:p>
        </w:tc>
        <w:tc>
          <w:tcPr>
            <w:tcW w:type="dxa" w:w="2160"/>
            <w:shd w:fill="F28C28"/>
          </w:tcPr>
          <w:p>
            <w:r>
              <w:rPr>
                <w:rFonts w:ascii="Aptos" w:hAnsi="Aptos"/>
                <w:b/>
                <w:color w:val="FFFFFF"/>
                <w:sz w:val="18"/>
              </w:rPr>
              <w:t>Servicio o función</w:t>
            </w:r>
          </w:p>
        </w:tc>
        <w:tc>
          <w:tcPr>
            <w:tcW w:type="dxa" w:w="1728"/>
            <w:shd w:fill="F28C28"/>
          </w:tcPr>
          <w:p>
            <w:r>
              <w:rPr>
                <w:rFonts w:ascii="Aptos" w:hAnsi="Aptos"/>
                <w:b/>
                <w:color w:val="FFFFFF"/>
                <w:sz w:val="18"/>
              </w:rPr>
              <w:t>País/ubicación</w:t>
            </w:r>
          </w:p>
        </w:tc>
        <w:tc>
          <w:tcPr>
            <w:tcW w:type="dxa" w:w="2448"/>
            <w:shd w:fill="F28C28"/>
          </w:tcPr>
          <w:p>
            <w:r>
              <w:rPr>
                <w:rFonts w:ascii="Aptos" w:hAnsi="Aptos"/>
                <w:b/>
                <w:color w:val="FFFFFF"/>
                <w:sz w:val="18"/>
              </w:rPr>
              <w:t>Datos o alcance</w:t>
            </w:r>
          </w:p>
        </w:tc>
        <w:tc>
          <w:tcPr>
            <w:tcW w:type="dxa" w:w="1440"/>
            <w:shd w:fill="F28C28"/>
          </w:tcPr>
          <w:p>
            <w:r>
              <w:rPr>
                <w:rFonts w:ascii="Aptos" w:hAnsi="Aptos"/>
                <w:b/>
                <w:color w:val="FFFFFF"/>
                <w:sz w:val="18"/>
              </w:rPr>
              <w:t>Autorización Cliente</w:t>
            </w:r>
          </w:p>
        </w:tc>
      </w:tr>
      <w:tr>
        <w:trPr>
          <w:cantSplit/>
        </w:trPr>
        <w:tc>
          <w:tcPr>
            <w:tcW w:type="dxa" w:w="2448"/>
            <w:vAlign w:val="top"/>
            <w:tcBorders>
              <w:top w:val="single" w:sz="4" w:color="D9D9D9"/>
              <w:left w:val="single" w:sz="4" w:color="D9D9D9"/>
              <w:bottom w:val="single" w:sz="4" w:color="D9D9D9"/>
              <w:right w:val="single" w:sz="4" w:color="D9D9D9"/>
            </w:tcBorders>
          </w:tcPr>
          <w:p>
            <w:r>
              <w:rPr>
                <w:rFonts w:ascii="Aptos" w:hAnsi="Aptos"/>
                <w:sz w:val="17"/>
              </w:rPr>
              <w:t>[Completar]</w:t>
            </w:r>
          </w:p>
        </w:tc>
        <w:tc>
          <w:tcPr>
            <w:tcW w:type="dxa" w:w="2160"/>
            <w:vAlign w:val="top"/>
            <w:tcBorders>
              <w:top w:val="single" w:sz="4" w:color="D9D9D9"/>
              <w:left w:val="single" w:sz="4" w:color="D9D9D9"/>
              <w:bottom w:val="single" w:sz="4" w:color="D9D9D9"/>
              <w:right w:val="single" w:sz="4" w:color="D9D9D9"/>
            </w:tcBorders>
          </w:tcPr>
          <w:p>
            <w:r>
              <w:rPr>
                <w:rFonts w:ascii="Aptos" w:hAnsi="Aptos"/>
                <w:sz w:val="17"/>
              </w:rPr>
              <w:t>Hosting / infraestructura</w:t>
            </w:r>
          </w:p>
        </w:tc>
        <w:tc>
          <w:tcPr>
            <w:tcW w:type="dxa" w:w="1728"/>
            <w:vAlign w:val="top"/>
            <w:tcBorders>
              <w:top w:val="single" w:sz="4" w:color="D9D9D9"/>
              <w:left w:val="single" w:sz="4" w:color="D9D9D9"/>
              <w:bottom w:val="single" w:sz="4" w:color="D9D9D9"/>
              <w:right w:val="single" w:sz="4" w:color="D9D9D9"/>
            </w:tcBorders>
          </w:tcPr>
          <w:p>
            <w:r>
              <w:rPr>
                <w:rFonts w:ascii="Aptos" w:hAnsi="Aptos"/>
                <w:sz w:val="17"/>
              </w:rPr>
              <w:t>[Completar]</w:t>
            </w:r>
          </w:p>
        </w:tc>
        <w:tc>
          <w:tcPr>
            <w:tcW w:type="dxa" w:w="2448"/>
            <w:vAlign w:val="top"/>
            <w:tcBorders>
              <w:top w:val="single" w:sz="4" w:color="D9D9D9"/>
              <w:left w:val="single" w:sz="4" w:color="D9D9D9"/>
              <w:bottom w:val="single" w:sz="4" w:color="D9D9D9"/>
              <w:right w:val="single" w:sz="4" w:color="D9D9D9"/>
            </w:tcBorders>
          </w:tcPr>
          <w:p>
            <w:r>
              <w:rPr>
                <w:rFonts w:ascii="Aptos" w:hAnsi="Aptos"/>
                <w:sz w:val="17"/>
              </w:rPr>
              <w:t>[Completar]</w:t>
            </w:r>
          </w:p>
        </w:tc>
        <w:tc>
          <w:tcPr>
            <w:tcW w:type="dxa" w:w="1440"/>
            <w:vAlign w:val="top"/>
            <w:tcBorders>
              <w:top w:val="single" w:sz="4" w:color="D9D9D9"/>
              <w:left w:val="single" w:sz="4" w:color="D9D9D9"/>
              <w:bottom w:val="single" w:sz="4" w:color="D9D9D9"/>
              <w:right w:val="single" w:sz="4" w:color="D9D9D9"/>
            </w:tcBorders>
          </w:tcPr>
          <w:p>
            <w:r>
              <w:rPr>
                <w:rFonts w:ascii="Aptos" w:hAnsi="Aptos"/>
                <w:sz w:val="17"/>
              </w:rPr>
              <w:t>☐ Autorizado</w:t>
            </w:r>
          </w:p>
        </w:tc>
      </w:tr>
      <w:tr>
        <w:trPr>
          <w:cantSplit/>
        </w:trPr>
        <w:tc>
          <w:tcPr>
            <w:tcW w:type="dxa" w:w="2448"/>
            <w:vAlign w:val="top"/>
            <w:tcBorders>
              <w:top w:val="single" w:sz="4" w:color="D9D9D9"/>
              <w:left w:val="single" w:sz="4" w:color="D9D9D9"/>
              <w:bottom w:val="single" w:sz="4" w:color="D9D9D9"/>
              <w:right w:val="single" w:sz="4" w:color="D9D9D9"/>
            </w:tcBorders>
          </w:tcPr>
          <w:p>
            <w:r>
              <w:rPr>
                <w:rFonts w:ascii="Aptos" w:hAnsi="Aptos"/>
                <w:sz w:val="17"/>
              </w:rPr>
              <w:t>[Completar]</w:t>
            </w:r>
          </w:p>
        </w:tc>
        <w:tc>
          <w:tcPr>
            <w:tcW w:type="dxa" w:w="2160"/>
            <w:vAlign w:val="top"/>
            <w:tcBorders>
              <w:top w:val="single" w:sz="4" w:color="D9D9D9"/>
              <w:left w:val="single" w:sz="4" w:color="D9D9D9"/>
              <w:bottom w:val="single" w:sz="4" w:color="D9D9D9"/>
              <w:right w:val="single" w:sz="4" w:color="D9D9D9"/>
            </w:tcBorders>
          </w:tcPr>
          <w:p>
            <w:r>
              <w:rPr>
                <w:rFonts w:ascii="Aptos" w:hAnsi="Aptos"/>
                <w:sz w:val="17"/>
              </w:rPr>
              <w:t>Soporte de software / plataforma</w:t>
            </w:r>
          </w:p>
        </w:tc>
        <w:tc>
          <w:tcPr>
            <w:tcW w:type="dxa" w:w="1728"/>
            <w:vAlign w:val="top"/>
            <w:tcBorders>
              <w:top w:val="single" w:sz="4" w:color="D9D9D9"/>
              <w:left w:val="single" w:sz="4" w:color="D9D9D9"/>
              <w:bottom w:val="single" w:sz="4" w:color="D9D9D9"/>
              <w:right w:val="single" w:sz="4" w:color="D9D9D9"/>
            </w:tcBorders>
          </w:tcPr>
          <w:p>
            <w:r>
              <w:rPr>
                <w:rFonts w:ascii="Aptos" w:hAnsi="Aptos"/>
                <w:sz w:val="17"/>
              </w:rPr>
              <w:t>[Completar]</w:t>
            </w:r>
          </w:p>
        </w:tc>
        <w:tc>
          <w:tcPr>
            <w:tcW w:type="dxa" w:w="2448"/>
            <w:vAlign w:val="top"/>
            <w:tcBorders>
              <w:top w:val="single" w:sz="4" w:color="D9D9D9"/>
              <w:left w:val="single" w:sz="4" w:color="D9D9D9"/>
              <w:bottom w:val="single" w:sz="4" w:color="D9D9D9"/>
              <w:right w:val="single" w:sz="4" w:color="D9D9D9"/>
            </w:tcBorders>
          </w:tcPr>
          <w:p>
            <w:r>
              <w:rPr>
                <w:rFonts w:ascii="Aptos" w:hAnsi="Aptos"/>
                <w:sz w:val="17"/>
              </w:rPr>
              <w:t>[Completar]</w:t>
            </w:r>
          </w:p>
        </w:tc>
        <w:tc>
          <w:tcPr>
            <w:tcW w:type="dxa" w:w="1440"/>
            <w:vAlign w:val="top"/>
            <w:tcBorders>
              <w:top w:val="single" w:sz="4" w:color="D9D9D9"/>
              <w:left w:val="single" w:sz="4" w:color="D9D9D9"/>
              <w:bottom w:val="single" w:sz="4" w:color="D9D9D9"/>
              <w:right w:val="single" w:sz="4" w:color="D9D9D9"/>
            </w:tcBorders>
          </w:tcPr>
          <w:p>
            <w:r>
              <w:rPr>
                <w:rFonts w:ascii="Aptos" w:hAnsi="Aptos"/>
                <w:sz w:val="17"/>
              </w:rPr>
              <w:t>☐ Autorizado</w:t>
            </w:r>
          </w:p>
        </w:tc>
      </w:tr>
      <w:tr>
        <w:trPr>
          <w:cantSplit/>
        </w:trPr>
        <w:tc>
          <w:tcPr>
            <w:tcW w:type="dxa" w:w="2448"/>
            <w:vAlign w:val="top"/>
            <w:tcBorders>
              <w:top w:val="single" w:sz="4" w:color="D9D9D9"/>
              <w:left w:val="single" w:sz="4" w:color="D9D9D9"/>
              <w:bottom w:val="single" w:sz="4" w:color="D9D9D9"/>
              <w:right w:val="single" w:sz="4" w:color="D9D9D9"/>
            </w:tcBorders>
          </w:tcPr>
          <w:p>
            <w:r>
              <w:rPr>
                <w:rFonts w:ascii="Aptos" w:hAnsi="Aptos"/>
                <w:sz w:val="17"/>
              </w:rPr>
              <w:t>[Completar]</w:t>
            </w:r>
          </w:p>
        </w:tc>
        <w:tc>
          <w:tcPr>
            <w:tcW w:type="dxa" w:w="2160"/>
            <w:vAlign w:val="top"/>
            <w:tcBorders>
              <w:top w:val="single" w:sz="4" w:color="D9D9D9"/>
              <w:left w:val="single" w:sz="4" w:color="D9D9D9"/>
              <w:bottom w:val="single" w:sz="4" w:color="D9D9D9"/>
              <w:right w:val="single" w:sz="4" w:color="D9D9D9"/>
            </w:tcBorders>
          </w:tcPr>
          <w:p>
            <w:r>
              <w:rPr>
                <w:rFonts w:ascii="Aptos" w:hAnsi="Aptos"/>
                <w:sz w:val="17"/>
              </w:rPr>
              <w:t>Backups / almacenamiento</w:t>
            </w:r>
          </w:p>
        </w:tc>
        <w:tc>
          <w:tcPr>
            <w:tcW w:type="dxa" w:w="1728"/>
            <w:vAlign w:val="top"/>
            <w:tcBorders>
              <w:top w:val="single" w:sz="4" w:color="D9D9D9"/>
              <w:left w:val="single" w:sz="4" w:color="D9D9D9"/>
              <w:bottom w:val="single" w:sz="4" w:color="D9D9D9"/>
              <w:right w:val="single" w:sz="4" w:color="D9D9D9"/>
            </w:tcBorders>
          </w:tcPr>
          <w:p>
            <w:r>
              <w:rPr>
                <w:rFonts w:ascii="Aptos" w:hAnsi="Aptos"/>
                <w:sz w:val="17"/>
              </w:rPr>
              <w:t>[Completar]</w:t>
            </w:r>
          </w:p>
        </w:tc>
        <w:tc>
          <w:tcPr>
            <w:tcW w:type="dxa" w:w="2448"/>
            <w:vAlign w:val="top"/>
            <w:tcBorders>
              <w:top w:val="single" w:sz="4" w:color="D9D9D9"/>
              <w:left w:val="single" w:sz="4" w:color="D9D9D9"/>
              <w:bottom w:val="single" w:sz="4" w:color="D9D9D9"/>
              <w:right w:val="single" w:sz="4" w:color="D9D9D9"/>
            </w:tcBorders>
          </w:tcPr>
          <w:p>
            <w:r>
              <w:rPr>
                <w:rFonts w:ascii="Aptos" w:hAnsi="Aptos"/>
                <w:sz w:val="17"/>
              </w:rPr>
              <w:t>[Completar]</w:t>
            </w:r>
          </w:p>
        </w:tc>
        <w:tc>
          <w:tcPr>
            <w:tcW w:type="dxa" w:w="1440"/>
            <w:vAlign w:val="top"/>
            <w:tcBorders>
              <w:top w:val="single" w:sz="4" w:color="D9D9D9"/>
              <w:left w:val="single" w:sz="4" w:color="D9D9D9"/>
              <w:bottom w:val="single" w:sz="4" w:color="D9D9D9"/>
              <w:right w:val="single" w:sz="4" w:color="D9D9D9"/>
            </w:tcBorders>
          </w:tcPr>
          <w:p>
            <w:r>
              <w:rPr>
                <w:rFonts w:ascii="Aptos" w:hAnsi="Aptos"/>
                <w:sz w:val="17"/>
              </w:rPr>
              <w:t>☐ Autorizado</w:t>
            </w:r>
          </w:p>
        </w:tc>
      </w:tr>
      <w:tr>
        <w:trPr>
          <w:cantSplit/>
        </w:trPr>
        <w:tc>
          <w:tcPr>
            <w:tcW w:type="dxa" w:w="2448"/>
            <w:vAlign w:val="top"/>
            <w:tcBorders>
              <w:top w:val="single" w:sz="4" w:color="D9D9D9"/>
              <w:left w:val="single" w:sz="4" w:color="D9D9D9"/>
              <w:bottom w:val="single" w:sz="4" w:color="D9D9D9"/>
              <w:right w:val="single" w:sz="4" w:color="D9D9D9"/>
            </w:tcBorders>
          </w:tcPr>
          <w:p>
            <w:r>
              <w:rPr>
                <w:rFonts w:ascii="Aptos" w:hAnsi="Aptos"/>
                <w:sz w:val="17"/>
              </w:rPr>
              <w:t>[Completar]</w:t>
            </w:r>
          </w:p>
        </w:tc>
        <w:tc>
          <w:tcPr>
            <w:tcW w:type="dxa" w:w="2160"/>
            <w:vAlign w:val="top"/>
            <w:tcBorders>
              <w:top w:val="single" w:sz="4" w:color="D9D9D9"/>
              <w:left w:val="single" w:sz="4" w:color="D9D9D9"/>
              <w:bottom w:val="single" w:sz="4" w:color="D9D9D9"/>
              <w:right w:val="single" w:sz="4" w:color="D9D9D9"/>
            </w:tcBorders>
          </w:tcPr>
          <w:p>
            <w:r>
              <w:rPr>
                <w:rFonts w:ascii="Aptos" w:hAnsi="Aptos"/>
                <w:sz w:val="17"/>
              </w:rPr>
              <w:t>Monitoreo / comunicaciones</w:t>
            </w:r>
          </w:p>
        </w:tc>
        <w:tc>
          <w:tcPr>
            <w:tcW w:type="dxa" w:w="1728"/>
            <w:vAlign w:val="top"/>
            <w:tcBorders>
              <w:top w:val="single" w:sz="4" w:color="D9D9D9"/>
              <w:left w:val="single" w:sz="4" w:color="D9D9D9"/>
              <w:bottom w:val="single" w:sz="4" w:color="D9D9D9"/>
              <w:right w:val="single" w:sz="4" w:color="D9D9D9"/>
            </w:tcBorders>
          </w:tcPr>
          <w:p>
            <w:r>
              <w:rPr>
                <w:rFonts w:ascii="Aptos" w:hAnsi="Aptos"/>
                <w:sz w:val="17"/>
              </w:rPr>
              <w:t>[Completar]</w:t>
            </w:r>
          </w:p>
        </w:tc>
        <w:tc>
          <w:tcPr>
            <w:tcW w:type="dxa" w:w="2448"/>
            <w:vAlign w:val="top"/>
            <w:tcBorders>
              <w:top w:val="single" w:sz="4" w:color="D9D9D9"/>
              <w:left w:val="single" w:sz="4" w:color="D9D9D9"/>
              <w:bottom w:val="single" w:sz="4" w:color="D9D9D9"/>
              <w:right w:val="single" w:sz="4" w:color="D9D9D9"/>
            </w:tcBorders>
          </w:tcPr>
          <w:p>
            <w:r>
              <w:rPr>
                <w:rFonts w:ascii="Aptos" w:hAnsi="Aptos"/>
                <w:sz w:val="17"/>
              </w:rPr>
              <w:t>[Completar]</w:t>
            </w:r>
          </w:p>
        </w:tc>
        <w:tc>
          <w:tcPr>
            <w:tcW w:type="dxa" w:w="1440"/>
            <w:vAlign w:val="top"/>
            <w:tcBorders>
              <w:top w:val="single" w:sz="4" w:color="D9D9D9"/>
              <w:left w:val="single" w:sz="4" w:color="D9D9D9"/>
              <w:bottom w:val="single" w:sz="4" w:color="D9D9D9"/>
              <w:right w:val="single" w:sz="4" w:color="D9D9D9"/>
            </w:tcBorders>
          </w:tcPr>
          <w:p>
            <w:r>
              <w:rPr>
                <w:rFonts w:ascii="Aptos" w:hAnsi="Aptos"/>
                <w:sz w:val="17"/>
              </w:rPr>
              <w:t>☐ Autorizado</w:t>
            </w:r>
          </w:p>
        </w:tc>
      </w:tr>
    </w:tbl>
    <w:p/>
    <w:p>
      <w:pPr>
        <w:pStyle w:val="LegalNote"/>
      </w:pPr>
      <w:r>
        <w:t>Mecanismo de transferencia internacional, si aplica: ________________________________________________</w:t>
      </w:r>
    </w:p>
    <w:p>
      <w:pPr>
        <w:pStyle w:val="Heading1"/>
      </w:pPr>
      <w:r>
        <w:t>ANEXO C. Medidas técnicas y organizativas de referencia</w:t>
      </w:r>
    </w:p>
    <w:p>
      <w:r>
        <w:t>Estas medidas se aplicarán en función del servicio, riesgo, arquitectura y capacidades contratadas; no todas las medidas resultan técnicamente aplicables a todos los planes.</w:t>
      </w:r>
    </w:p>
    <w:p>
      <w:pPr>
        <w:pStyle w:val="ListBullet"/>
        <w:spacing w:after="40"/>
      </w:pPr>
      <w:r>
        <w:t>Control de acceso basado en necesidad, privilegio mínimo y cuentas individualizadas cuando sea posible.</w:t>
      </w:r>
    </w:p>
    <w:p>
      <w:pPr>
        <w:pStyle w:val="ListBullet"/>
        <w:spacing w:after="40"/>
      </w:pPr>
      <w:r>
        <w:t>Autenticación robusta y MFA para accesos administrativos cuando la plataforma lo soporte y el riesgo lo requiera.</w:t>
      </w:r>
    </w:p>
    <w:p>
      <w:pPr>
        <w:pStyle w:val="ListBullet"/>
        <w:spacing w:after="40"/>
      </w:pPr>
      <w:r>
        <w:t>Cifrado de comunicaciones mediante protocolos seguros en componentes administrados que lo permitan.</w:t>
      </w:r>
    </w:p>
    <w:p>
      <w:pPr>
        <w:pStyle w:val="ListBullet"/>
        <w:spacing w:after="40"/>
      </w:pPr>
      <w:r>
        <w:t>Aislamiento lógico de ambientes y separación de credenciales.</w:t>
      </w:r>
    </w:p>
    <w:p>
      <w:pPr>
        <w:pStyle w:val="ListBullet"/>
        <w:spacing w:after="40"/>
      </w:pPr>
      <w:r>
        <w:t>Gestión de actualizaciones y parches de componentes bajo administración de SYSTCOM, conforme a criticidad y compatibilidad.</w:t>
      </w:r>
    </w:p>
    <w:p>
      <w:pPr>
        <w:pStyle w:val="ListBullet"/>
        <w:spacing w:after="40"/>
      </w:pPr>
      <w:r>
        <w:t>Registro y monitoreo técnico razonable de eventos de infraestructura y seguridad.</w:t>
      </w:r>
    </w:p>
    <w:p>
      <w:pPr>
        <w:pStyle w:val="ListBullet"/>
        <w:spacing w:after="40"/>
      </w:pPr>
      <w:r>
        <w:t>Respaldos y capacidad de restauración conforme al plan contratado.</w:t>
      </w:r>
    </w:p>
    <w:p>
      <w:pPr>
        <w:pStyle w:val="ListBullet"/>
        <w:spacing w:after="40"/>
      </w:pPr>
      <w:r>
        <w:t>Procedimiento de gestión y escalamiento de incidentes.</w:t>
      </w:r>
    </w:p>
    <w:p>
      <w:pPr>
        <w:pStyle w:val="ListBullet"/>
        <w:spacing w:after="40"/>
      </w:pPr>
      <w:r>
        <w:t>Confidencialidad y control de acceso del personal autorizado.</w:t>
      </w:r>
    </w:p>
    <w:p>
      <w:pPr>
        <w:pStyle w:val="ListBullet"/>
        <w:spacing w:after="40"/>
      </w:pPr>
      <w:r>
        <w:t>Revisión periódica razonable de medidas y riesgos de los servicios administrados.</w:t>
      </w:r>
    </w:p>
    <w:p>
      <w:pPr>
        <w:pStyle w:val="Heading1"/>
      </w:pPr>
      <w:r>
        <w:t>ANEXO D. Aceptación</w:t>
      </w:r>
    </w:p>
    <w:tbl>
      <w:tblPr>
        <w:tblStyle w:val="TableGrid"/>
        <w:tblW w:type="auto" w:w="0"/>
        <w:jc w:val="center"/>
        <w:tblLook w:firstColumn="1" w:firstRow="1" w:lastColumn="0" w:lastRow="0" w:noHBand="0" w:noVBand="1" w:val="04A0"/>
      </w:tblPr>
      <w:tblGrid>
        <w:gridCol w:w="4968"/>
        <w:gridCol w:w="4968"/>
      </w:tblGrid>
      <w:tr>
        <w:trPr>
          <w:tblHeader w:val="true"/>
          <w:cantSplit/>
        </w:trPr>
        <w:tc>
          <w:tcPr>
            <w:tcW w:type="dxa" w:w="5040"/>
            <w:shd w:fill="F28C28"/>
          </w:tcPr>
          <w:p>
            <w:r>
              <w:rPr>
                <w:rFonts w:ascii="Aptos" w:hAnsi="Aptos"/>
                <w:b/>
                <w:color w:val="FFFFFF"/>
                <w:sz w:val="18"/>
              </w:rPr>
              <w:t>Por el Cliente</w:t>
            </w:r>
          </w:p>
        </w:tc>
        <w:tc>
          <w:tcPr>
            <w:tcW w:type="dxa" w:w="5040"/>
            <w:shd w:fill="F28C28"/>
          </w:tcPr>
          <w:p>
            <w:r>
              <w:rPr>
                <w:rFonts w:ascii="Aptos" w:hAnsi="Aptos"/>
                <w:b/>
                <w:color w:val="FFFFFF"/>
                <w:sz w:val="18"/>
              </w:rPr>
              <w:t>Por SYSTCOM LTDA.</w:t>
            </w:r>
          </w:p>
        </w:tc>
      </w:tr>
      <w:tr>
        <w:trPr>
          <w:cantSplit/>
        </w:trPr>
        <w:tc>
          <w:tcPr>
            <w:tcW w:type="dxa" w:w="5040"/>
            <w:vAlign w:val="top"/>
            <w:tcBorders>
              <w:top w:val="single" w:sz="4" w:color="D9D9D9"/>
              <w:left w:val="single" w:sz="4" w:color="D9D9D9"/>
              <w:bottom w:val="single" w:sz="4" w:color="D9D9D9"/>
              <w:right w:val="single" w:sz="4" w:color="D9D9D9"/>
            </w:tcBorders>
          </w:tcPr>
          <w:p>
            <w:r>
              <w:rPr>
                <w:rFonts w:ascii="Aptos" w:hAnsi="Aptos"/>
                <w:sz w:val="17"/>
              </w:rPr>
              <w:t>Razón social: ______________________________</w:t>
              <w:br/>
              <w:t>RUT: ______________________________</w:t>
              <w:br/>
              <w:t>Nombre: ____________________________</w:t>
              <w:br/>
              <w:t>Cargo: _____________________________</w:t>
              <w:br/>
              <w:t>Fecha: _____________________________</w:t>
              <w:br/>
              <w:t>Firma: _____________________________</w:t>
            </w:r>
          </w:p>
        </w:tc>
        <w:tc>
          <w:tcPr>
            <w:tcW w:type="dxa" w:w="5040"/>
            <w:vAlign w:val="top"/>
            <w:tcBorders>
              <w:top w:val="single" w:sz="4" w:color="D9D9D9"/>
              <w:left w:val="single" w:sz="4" w:color="D9D9D9"/>
              <w:bottom w:val="single" w:sz="4" w:color="D9D9D9"/>
              <w:right w:val="single" w:sz="4" w:color="D9D9D9"/>
            </w:tcBorders>
          </w:tcPr>
          <w:p>
            <w:r>
              <w:rPr>
                <w:rFonts w:ascii="Aptos" w:hAnsi="Aptos"/>
                <w:sz w:val="17"/>
              </w:rPr>
              <w:t>SYSTCOM LTDA.</w:t>
              <w:br/>
              <w:t>RUT 76.559.505-3</w:t>
              <w:br/>
              <w:t>Nombre: ____________________________</w:t>
              <w:br/>
              <w:t>Cargo: _____________________________</w:t>
              <w:br/>
              <w:t>Fecha: _____________________________</w:t>
              <w:br/>
              <w:t>Firma: _____________________________</w:t>
            </w:r>
          </w:p>
        </w:tc>
      </w:tr>
    </w:tbl>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xml:space="preserve">SYSTCOM-DPA-2026  |  Versión 1.0 - septiembre 2026  |  Página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66666"/>
        <w:sz w:val="17"/>
      </w:rPr>
      <w:t>SYSTCOM LTDA.  |  Marco Contractual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F28C28"/>
      <w:sz w:val="30"/>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w:hAnsi="Aptos"/>
      <w:b/>
      <w:bCs/>
      <w:color w:val="2B2B2B"/>
      <w:sz w:val="24"/>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w:hAnsi="Aptos"/>
      <w:b/>
      <w:bCs/>
      <w:color w:val="66666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Aptos Display" w:hAnsi="Aptos Display"/>
      <w:b/>
      <w:color w:val="2B2B2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pPr>
      <w:spacing w:after="80"/>
    </w:pPr>
    <w:rPr>
      <w:rFonts w:ascii="Aptos" w:hAnsi="Aptos"/>
      <w:color w:val="666666"/>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