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Aptos Display" w:hAnsi="Aptos Display"/>
          <w:b/>
          <w:color w:val="F28C28"/>
          <w:sz w:val="44"/>
        </w:rPr>
        <w:t>SYSTCOM</w:t>
      </w:r>
    </w:p>
    <w:p>
      <w:pPr>
        <w:pStyle w:val="Title"/>
      </w:pPr>
      <w:r>
        <w:t>POLÍTICA DE RESPALDOS, RESTAURACIÓN Y CONTINUIDAD OPERACIONAL</w:t>
      </w:r>
    </w:p>
    <w:p>
      <w:pPr>
        <w:jc w:val="left"/>
      </w:pPr>
      <w:r>
        <w:rPr>
          <w:rFonts w:ascii="Aptos" w:hAnsi="Aptos"/>
          <w:color w:val="666666"/>
          <w:sz w:val="24"/>
        </w:rPr>
        <w:t>Definición de alcance, retención, recuperación, RPO/RTO y responsabilidades</w:t>
      </w:r>
    </w:p>
    <w:p/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  <w:shd w:fill="F4F4F4"/>
            <w:vAlign w:val="center"/>
          </w:tcPr>
          <w:p>
            <w:r>
              <w:rPr>
                <w:rFonts w:ascii="Aptos" w:hAnsi="Aptos"/>
                <w:b w:val="0"/>
                <w:sz w:val="19"/>
              </w:rPr>
              <w:t>Proveedor</w:t>
            </w:r>
          </w:p>
        </w:tc>
        <w:tc>
          <w:tcPr>
            <w:tcW w:type="dxa" w:w="4968"/>
            <w:vAlign w:val="center"/>
          </w:tcPr>
          <w:p>
            <w:r>
              <w:rPr>
                <w:rFonts w:ascii="Aptos" w:hAnsi="Aptos"/>
                <w:b w:val="0"/>
                <w:sz w:val="19"/>
              </w:rPr>
              <w:t>SYSTCOM LTDA. - RUT 76.559.505-3</w:t>
            </w:r>
          </w:p>
        </w:tc>
      </w:tr>
      <w:tr>
        <w:tc>
          <w:tcPr>
            <w:tcW w:type="dxa" w:w="4968"/>
            <w:shd w:fill="F4F4F4"/>
            <w:vAlign w:val="center"/>
          </w:tcPr>
          <w:p>
            <w:r>
              <w:rPr>
                <w:rFonts w:ascii="Aptos" w:hAnsi="Aptos"/>
                <w:b w:val="0"/>
                <w:sz w:val="19"/>
              </w:rPr>
              <w:t>Versión</w:t>
            </w:r>
          </w:p>
        </w:tc>
        <w:tc>
          <w:tcPr>
            <w:tcW w:type="dxa" w:w="4968"/>
            <w:vAlign w:val="center"/>
          </w:tcPr>
          <w:p>
            <w:r>
              <w:rPr>
                <w:rFonts w:ascii="Aptos" w:hAnsi="Aptos"/>
                <w:b w:val="0"/>
                <w:sz w:val="19"/>
              </w:rPr>
              <w:t>1.0 - septiembre 2026</w:t>
            </w:r>
          </w:p>
        </w:tc>
      </w:tr>
      <w:tr>
        <w:tc>
          <w:tcPr>
            <w:tcW w:type="dxa" w:w="4968"/>
            <w:shd w:fill="F4F4F4"/>
            <w:vAlign w:val="center"/>
          </w:tcPr>
          <w:p>
            <w:r>
              <w:rPr>
                <w:rFonts w:ascii="Aptos" w:hAnsi="Aptos"/>
                <w:b w:val="0"/>
                <w:sz w:val="19"/>
              </w:rPr>
              <w:t>Aplicación</w:t>
            </w:r>
          </w:p>
        </w:tc>
        <w:tc>
          <w:tcPr>
            <w:tcW w:type="dxa" w:w="4968"/>
            <w:vAlign w:val="center"/>
          </w:tcPr>
          <w:p>
            <w:r>
              <w:rPr>
                <w:rFonts w:ascii="Aptos" w:hAnsi="Aptos"/>
                <w:b w:val="0"/>
                <w:sz w:val="19"/>
              </w:rPr>
              <w:t>Servicios informáticos, ERP/Odoo, SaaS, cloud, infraestructura administrada, soporte, desarrollo e integraciones, según propuesta comercial.</w:t>
            </w:r>
          </w:p>
        </w:tc>
      </w:tr>
      <w:tr>
        <w:tc>
          <w:tcPr>
            <w:tcW w:type="dxa" w:w="4968"/>
            <w:shd w:fill="F4F4F4"/>
            <w:vAlign w:val="center"/>
          </w:tcPr>
          <w:p>
            <w:r>
              <w:rPr>
                <w:rFonts w:ascii="Aptos" w:hAnsi="Aptos"/>
                <w:b w:val="0"/>
                <w:sz w:val="19"/>
              </w:rPr>
              <w:t>Estado</w:t>
            </w:r>
          </w:p>
        </w:tc>
        <w:tc>
          <w:tcPr>
            <w:tcW w:type="dxa" w:w="4968"/>
            <w:vAlign w:val="center"/>
          </w:tcPr>
          <w:p>
            <w:r>
              <w:rPr>
                <w:rFonts w:ascii="Aptos" w:hAnsi="Aptos"/>
                <w:b w:val="0"/>
                <w:sz w:val="19"/>
              </w:rPr>
              <w:t>BORRADOR CONTRACTUAL PARA REVISIÓN LEGAL ANTES DE SU PUBLICACIÓN O FIRMA</w:t>
            </w:r>
          </w:p>
        </w:tc>
      </w:tr>
    </w:tbl>
    <w:p/>
    <w:p>
      <w:pPr>
        <w:pStyle w:val="LegalNote"/>
      </w:pPr>
      <w:r>
        <w:rPr>
          <w:b/>
        </w:rPr>
        <w:t xml:space="preserve">Nota: </w:t>
      </w:r>
      <w:r>
        <w:t>Este documento es una propuesta contractual de gestión de riesgos y operación tecnológica. Debe ser revisado por asesoría jurídica chilena antes de utilizarse como contrato definitivo. Cuando exista una propuesta comercial, orden de compra, SLA o anexo específico, éstos prevalecerán sólo respecto de la materia particular que regulen, conforme al orden de prelación definido en los Términos Generales.</w:t>
      </w:r>
    </w:p>
    <w:p>
      <w:r>
        <w:br w:type="page"/>
      </w:r>
    </w:p>
    <w:p>
      <w:pPr>
        <w:pStyle w:val="Heading1"/>
      </w:pPr>
      <w:r>
        <w:t>1. Objeto</w:t>
      </w:r>
    </w:p>
    <w:p>
      <w:r>
        <w:t>Esta política regula los servicios de respaldo, restauración y continuidad que SYSTCOM presta cuando se encuentran expresamente incluidos en la propuesta comercial. Su objetivo es definir expectativas realistas de recuperación y evitar que copias operativas, snapshots o mecanismos internos sean interpretados como garantías de conservación ilimitada.</w:t>
      </w:r>
    </w:p>
    <w:p>
      <w:pPr>
        <w:pStyle w:val="Heading1"/>
      </w:pPr>
      <w:r>
        <w:t>2. Principios</w:t>
      </w:r>
    </w:p>
    <w:p>
      <w:pPr>
        <w:pStyle w:val="ListBullet"/>
        <w:spacing w:after="40"/>
      </w:pPr>
      <w:r>
        <w:t>Los respaldos constituyen una medida de contingencia y no una garantía absoluta de recuperación frente a toda causa de pérdida o corrupción.</w:t>
      </w:r>
    </w:p>
    <w:p>
      <w:pPr>
        <w:pStyle w:val="ListBullet"/>
        <w:spacing w:after="40"/>
      </w:pPr>
      <w:r>
        <w:t>Frecuencia, retención, alcance, ubicación, RPO, RTO y pruebas dependen del plan contratado.</w:t>
      </w:r>
    </w:p>
    <w:p>
      <w:pPr>
        <w:pStyle w:val="ListBullet"/>
        <w:spacing w:after="40"/>
      </w:pPr>
      <w:r>
        <w:t>Una copia cuya retención ha expirado puede ser eliminada de acuerdo con el ciclo normal del servicio.</w:t>
      </w:r>
    </w:p>
    <w:p>
      <w:pPr>
        <w:pStyle w:val="ListBullet"/>
        <w:spacing w:after="40"/>
      </w:pPr>
      <w:r>
        <w:t>El Cliente debe contratar retenciones y mecanismos adicionales cuando tenga obligaciones legales, regulatorias o de negocio superiores a las incluidas en su plan.</w:t>
      </w:r>
    </w:p>
    <w:p>
      <w:pPr>
        <w:pStyle w:val="ListBullet"/>
        <w:spacing w:after="40"/>
      </w:pPr>
      <w:r>
        <w:t>Las restauraciones pueden implicar pérdida de transacciones posteriores al punto recuperado y deberán ser autorizadas por un responsable del Cliente.</w:t>
      </w:r>
    </w:p>
    <w:p>
      <w:pPr>
        <w:pStyle w:val="Heading1"/>
      </w:pPr>
      <w:r>
        <w:t>3. Componentes respaldables</w:t>
      </w:r>
    </w:p>
    <w:p>
      <w:r>
        <w:t>Según el plan, un respaldo de Odoo puede incluir la base de datos PostgreSQL y el filestore asociado. Configuraciones del sistema operativo, código fuente, repositorios, adjuntos externos, datos de servicios de terceros y archivos fuera de las rutas administradas sólo estarán incluidos cuando la propuesta lo indique expresamente.</w:t>
      </w:r>
    </w:p>
    <w:p>
      <w:pPr>
        <w:pStyle w:val="Heading1"/>
      </w:pPr>
      <w:r>
        <w:t>4. Planes de referencia</w:t>
      </w:r>
    </w:p>
    <w:p>
      <w:r>
        <w:t>La siguiente tabla es una guía de configuración comercial. Sólo será contractual cuando la propuesta identifique expresamente uno de estos planes o reproduzca sus parámetros: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87"/>
        <w:gridCol w:w="1987"/>
        <w:gridCol w:w="1987"/>
        <w:gridCol w:w="1987"/>
        <w:gridCol w:w="1987"/>
      </w:tblGrid>
      <w:tr>
        <w:trPr>
          <w:tblHeader w:val="true"/>
          <w:cantSplit/>
        </w:trPr>
        <w:tc>
          <w:tcPr>
            <w:tcW w:type="dxa" w:w="2448"/>
            <w:shd w:fill="F28C28"/>
          </w:tcPr>
          <w:p>
            <w:r>
              <w:rPr>
                <w:rFonts w:ascii="Aptos" w:hAnsi="Aptos"/>
                <w:b/>
                <w:color w:val="FFFFFF"/>
                <w:sz w:val="18"/>
              </w:rPr>
              <w:t>Plan de referencia</w:t>
            </w:r>
          </w:p>
        </w:tc>
        <w:tc>
          <w:tcPr>
            <w:tcW w:type="dxa" w:w="2016"/>
            <w:shd w:fill="F28C28"/>
          </w:tcPr>
          <w:p>
            <w:r>
              <w:rPr>
                <w:rFonts w:ascii="Aptos" w:hAnsi="Aptos"/>
                <w:b/>
                <w:color w:val="FFFFFF"/>
                <w:sz w:val="18"/>
              </w:rPr>
              <w:t>Frecuencia</w:t>
            </w:r>
          </w:p>
        </w:tc>
        <w:tc>
          <w:tcPr>
            <w:tcW w:type="dxa" w:w="1872"/>
            <w:shd w:fill="F28C28"/>
          </w:tcPr>
          <w:p>
            <w:r>
              <w:rPr>
                <w:rFonts w:ascii="Aptos" w:hAnsi="Aptos"/>
                <w:b/>
                <w:color w:val="FFFFFF"/>
                <w:sz w:val="18"/>
              </w:rPr>
              <w:t>Retención</w:t>
            </w:r>
          </w:p>
        </w:tc>
        <w:tc>
          <w:tcPr>
            <w:tcW w:type="dxa" w:w="1872"/>
            <w:shd w:fill="F28C28"/>
          </w:tcPr>
          <w:p>
            <w:r>
              <w:rPr>
                <w:rFonts w:ascii="Aptos" w:hAnsi="Aptos"/>
                <w:b/>
                <w:color w:val="FFFFFF"/>
                <w:sz w:val="18"/>
              </w:rPr>
              <w:t>RPO objetivo</w:t>
            </w:r>
          </w:p>
        </w:tc>
        <w:tc>
          <w:tcPr>
            <w:tcW w:type="dxa" w:w="2160"/>
            <w:shd w:fill="F28C28"/>
          </w:tcPr>
          <w:p>
            <w:r>
              <w:rPr>
                <w:rFonts w:ascii="Aptos" w:hAnsi="Aptos"/>
                <w:b/>
                <w:color w:val="FFFFFF"/>
                <w:sz w:val="18"/>
              </w:rPr>
              <w:t>RTO objetivo*</w:t>
            </w:r>
          </w:p>
        </w:tc>
      </w:tr>
      <w:tr>
        <w:trPr>
          <w:cantSplit/>
        </w:trPr>
        <w:tc>
          <w:tcPr>
            <w:tcW w:type="dxa" w:w="2448"/>
            <w:vAlign w:val="top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ptos" w:hAnsi="Aptos"/>
                <w:sz w:val="17"/>
              </w:rPr>
              <w:t>Backup Estándar Administrado</w:t>
            </w:r>
          </w:p>
        </w:tc>
        <w:tc>
          <w:tcPr>
            <w:tcW w:type="dxa" w:w="2016"/>
            <w:vAlign w:val="top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ptos" w:hAnsi="Aptos"/>
                <w:sz w:val="17"/>
              </w:rPr>
              <w:t>Diaria</w:t>
            </w:r>
          </w:p>
        </w:tc>
        <w:tc>
          <w:tcPr>
            <w:tcW w:type="dxa" w:w="1872"/>
            <w:vAlign w:val="top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ptos" w:hAnsi="Aptos"/>
                <w:sz w:val="17"/>
              </w:rPr>
              <w:t>7 días</w:t>
            </w:r>
          </w:p>
        </w:tc>
        <w:tc>
          <w:tcPr>
            <w:tcW w:type="dxa" w:w="1872"/>
            <w:vAlign w:val="top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ptos" w:hAnsi="Aptos"/>
                <w:sz w:val="17"/>
              </w:rPr>
              <w:t>24 horas</w:t>
            </w:r>
          </w:p>
        </w:tc>
        <w:tc>
          <w:tcPr>
            <w:tcW w:type="dxa" w:w="2160"/>
            <w:vAlign w:val="top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ptos" w:hAnsi="Aptos"/>
                <w:sz w:val="17"/>
              </w:rPr>
              <w:t>Hasta 8 horas hábiles</w:t>
            </w:r>
          </w:p>
        </w:tc>
      </w:tr>
      <w:tr>
        <w:trPr>
          <w:cantSplit/>
        </w:trPr>
        <w:tc>
          <w:tcPr>
            <w:tcW w:type="dxa" w:w="2448"/>
            <w:vAlign w:val="top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ptos" w:hAnsi="Aptos"/>
                <w:sz w:val="17"/>
              </w:rPr>
              <w:t>Backup Reforzado</w:t>
            </w:r>
          </w:p>
        </w:tc>
        <w:tc>
          <w:tcPr>
            <w:tcW w:type="dxa" w:w="2016"/>
            <w:vAlign w:val="top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ptos" w:hAnsi="Aptos"/>
                <w:sz w:val="17"/>
              </w:rPr>
              <w:t>Diaria + puntos semanales</w:t>
            </w:r>
          </w:p>
        </w:tc>
        <w:tc>
          <w:tcPr>
            <w:tcW w:type="dxa" w:w="1872"/>
            <w:vAlign w:val="top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ptos" w:hAnsi="Aptos"/>
                <w:sz w:val="17"/>
              </w:rPr>
              <w:t>30 días</w:t>
            </w:r>
          </w:p>
        </w:tc>
        <w:tc>
          <w:tcPr>
            <w:tcW w:type="dxa" w:w="1872"/>
            <w:vAlign w:val="top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ptos" w:hAnsi="Aptos"/>
                <w:sz w:val="17"/>
              </w:rPr>
              <w:t>24 horas</w:t>
            </w:r>
          </w:p>
        </w:tc>
        <w:tc>
          <w:tcPr>
            <w:tcW w:type="dxa" w:w="2160"/>
            <w:vAlign w:val="top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ptos" w:hAnsi="Aptos"/>
                <w:sz w:val="17"/>
              </w:rPr>
              <w:t>Hasta 4 horas hábiles</w:t>
            </w:r>
          </w:p>
        </w:tc>
      </w:tr>
      <w:tr>
        <w:trPr>
          <w:cantSplit/>
        </w:trPr>
        <w:tc>
          <w:tcPr>
            <w:tcW w:type="dxa" w:w="2448"/>
            <w:vAlign w:val="top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ptos" w:hAnsi="Aptos"/>
                <w:sz w:val="17"/>
              </w:rPr>
              <w:t>Continuidad Crítica</w:t>
            </w:r>
          </w:p>
        </w:tc>
        <w:tc>
          <w:tcPr>
            <w:tcW w:type="dxa" w:w="2016"/>
            <w:vAlign w:val="top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ptos" w:hAnsi="Aptos"/>
                <w:sz w:val="17"/>
              </w:rPr>
              <w:t>Según diseño específico</w:t>
            </w:r>
          </w:p>
        </w:tc>
        <w:tc>
          <w:tcPr>
            <w:tcW w:type="dxa" w:w="1872"/>
            <w:vAlign w:val="top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ptos" w:hAnsi="Aptos"/>
                <w:sz w:val="17"/>
              </w:rPr>
              <w:t>Según diseño específico</w:t>
            </w:r>
          </w:p>
        </w:tc>
        <w:tc>
          <w:tcPr>
            <w:tcW w:type="dxa" w:w="1872"/>
            <w:vAlign w:val="top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ptos" w:hAnsi="Aptos"/>
                <w:sz w:val="17"/>
              </w:rPr>
              <w:t>Según propuesta</w:t>
            </w:r>
          </w:p>
        </w:tc>
        <w:tc>
          <w:tcPr>
            <w:tcW w:type="dxa" w:w="2160"/>
            <w:vAlign w:val="top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ptos" w:hAnsi="Aptos"/>
                <w:sz w:val="17"/>
              </w:rPr>
              <w:t>Según propuesta</w:t>
            </w:r>
          </w:p>
        </w:tc>
      </w:tr>
    </w:tbl>
    <w:p/>
    <w:p>
      <w:r>
        <w:t>*El RTO comienza una vez que SYSTCOM confirma que existe un respaldo utilizable, dispone de infraestructura para restaurar y recibe las autorizaciones/accesos necesarios. Estos valores son objetivos operativos salvo que la propuesta los identifique expresamente como compromisos contractuales.</w:t>
      </w:r>
    </w:p>
    <w:p>
      <w:pPr>
        <w:pStyle w:val="Heading1"/>
      </w:pPr>
      <w:r>
        <w:t>5. Definiciones RPO y RTO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rPr>
          <w:tblHeader w:val="true"/>
          <w:cantSplit/>
        </w:trPr>
        <w:tc>
          <w:tcPr>
            <w:tcW w:type="dxa" w:w="3024"/>
            <w:shd w:fill="F28C28"/>
          </w:tcPr>
          <w:p>
            <w:r>
              <w:rPr>
                <w:rFonts w:ascii="Aptos" w:hAnsi="Aptos"/>
                <w:b/>
                <w:color w:val="FFFFFF"/>
                <w:sz w:val="18"/>
              </w:rPr>
              <w:t>Indicador</w:t>
            </w:r>
          </w:p>
        </w:tc>
        <w:tc>
          <w:tcPr>
            <w:tcW w:type="dxa" w:w="7200"/>
            <w:shd w:fill="F28C28"/>
          </w:tcPr>
          <w:p>
            <w:r>
              <w:rPr>
                <w:rFonts w:ascii="Aptos" w:hAnsi="Aptos"/>
                <w:b/>
                <w:color w:val="FFFFFF"/>
                <w:sz w:val="18"/>
              </w:rPr>
              <w:t>Significado</w:t>
            </w:r>
          </w:p>
        </w:tc>
      </w:tr>
      <w:tr>
        <w:trPr>
          <w:cantSplit/>
        </w:trPr>
        <w:tc>
          <w:tcPr>
            <w:tcW w:type="dxa" w:w="3024"/>
            <w:vAlign w:val="top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ptos" w:hAnsi="Aptos"/>
                <w:sz w:val="17"/>
              </w:rPr>
              <w:t>RPO - Recovery Point Objective</w:t>
            </w:r>
          </w:p>
        </w:tc>
        <w:tc>
          <w:tcPr>
            <w:tcW w:type="dxa" w:w="7200"/>
            <w:vAlign w:val="top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ptos" w:hAnsi="Aptos"/>
                <w:sz w:val="17"/>
              </w:rPr>
              <w:t>Máxima antigüedad objetivo del punto de datos recuperable. Un RPO de 24 horas puede implicar pérdida de cambios posteriores al último respaldo válido.</w:t>
            </w:r>
          </w:p>
        </w:tc>
      </w:tr>
      <w:tr>
        <w:trPr>
          <w:cantSplit/>
        </w:trPr>
        <w:tc>
          <w:tcPr>
            <w:tcW w:type="dxa" w:w="3024"/>
            <w:vAlign w:val="top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ptos" w:hAnsi="Aptos"/>
                <w:sz w:val="17"/>
              </w:rPr>
              <w:t>RTO - Recovery Time Objective</w:t>
            </w:r>
          </w:p>
        </w:tc>
        <w:tc>
          <w:tcPr>
            <w:tcW w:type="dxa" w:w="7200"/>
            <w:vAlign w:val="top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ptos" w:hAnsi="Aptos"/>
                <w:sz w:val="17"/>
              </w:rPr>
              <w:t>Tiempo objetivo para restablecer una capacidad operativa después de iniciada una restauración válida. No incluye retrasos atribuibles a terceros, Cliente, adquisición de infraestructura o causas excluidas.</w:t>
            </w:r>
          </w:p>
        </w:tc>
      </w:tr>
    </w:tbl>
    <w:p/>
    <w:p>
      <w:pPr>
        <w:pStyle w:val="Heading1"/>
      </w:pPr>
      <w:r>
        <w:t>6. Ejecución y verificación de respaldos</w:t>
      </w:r>
    </w:p>
    <w:p>
      <w:r>
        <w:t>SYSTCOM podrá automatizar las tareas de respaldo y monitorear su ejecución. La verificación de que un job finalizó correctamente no equivale a una restauración integral de negocio. Pruebas completas de recuperación, simulacros de desastre o restauraciones periódicas sólo estarán incluidas cuando el plan las contemple.</w:t>
      </w:r>
    </w:p>
    <w:p>
      <w:r>
        <w:t>SYSTCOM podrá reintentar respaldos fallidos dentro de ventanas razonables. Si un fallo persistente reduce materialmente la protección contratada y es detectado por SYSTCOM, se procurará aplicar una medida correctiva y registrar el evento.</w:t>
      </w:r>
    </w:p>
    <w:p>
      <w:pPr>
        <w:pStyle w:val="Heading1"/>
      </w:pPr>
      <w:r>
        <w:t>7. Ubicación y separación</w:t>
      </w:r>
    </w:p>
    <w:p>
      <w:r>
        <w:t>Los respaldos podrán mantenerse en infraestructura separada lógica o físicamente del entorno productivo, de acuerdo con el diseño contratado. La existencia de una segunda región, proveedor o cuenta aislada sólo se entenderá incluida si se identifica expresamente en la propuesta o arquitectura aprobada.</w:t>
      </w:r>
    </w:p>
    <w:p>
      <w:pPr>
        <w:pStyle w:val="Heading1"/>
      </w:pPr>
      <w:r>
        <w:t>8. Cifrado y acceso</w:t>
      </w:r>
    </w:p>
    <w:p>
      <w:r>
        <w:t>SYSTCOM aplicará controles de acceso y mecanismos de cifrado razonables según tecnología disponible, riesgo y alcance. El personal con acceso a respaldos deberá estar autorizado por necesidades operativas. El uso de cifrado en reposo, llaves gestionadas por Cliente u otros controles especiales requerirá que estén incluidos en el plan técnico correspondiente.</w:t>
      </w:r>
    </w:p>
    <w:p>
      <w:pPr>
        <w:pStyle w:val="Heading1"/>
      </w:pPr>
      <w:r>
        <w:t>9. Solicitud de restauración</w:t>
      </w:r>
    </w:p>
    <w:p>
      <w:r>
        <w:t>Las solicitudes deberán identificar la base/servicio, motivo, fecha o punto deseado y responsable que autoriza. SYSTCOM podrá recomendar restaurar primero en un ambiente alternativo para validar integridad y evitar sobrescribir producción. Si el Cliente exige restauración directa sobre producción, deberá aceptar el riesgo de reemplazo de datos posteriores al punto seleccionado.</w:t>
      </w:r>
    </w:p>
    <w:p>
      <w:pPr>
        <w:pStyle w:val="Heading1"/>
      </w:pPr>
      <w:r>
        <w:t>10. Restauraciones incluidas y adicionales</w:t>
      </w:r>
    </w:p>
    <w:p>
      <w:r>
        <w:t>La cantidad de restauraciones sin costo se definirá en la propuesta. Si no existe indicación, las restauraciones solicitadas por errores de usuario, eliminación accidental, pruebas, auditorías o recuperación histórica podrán ser facturadas como servicio profesional. Las restauraciones requeridas por una falla imputable a infraestructura cubierta se tratarán conforme al SLA y al plan contratado.</w:t>
      </w:r>
    </w:p>
    <w:p>
      <w:pPr>
        <w:pStyle w:val="Heading1"/>
      </w:pPr>
      <w:r>
        <w:t>11. Limitaciones y exclusiones</w:t>
      </w:r>
    </w:p>
    <w:p>
      <w:pPr>
        <w:pStyle w:val="ListBullet"/>
        <w:spacing w:after="40"/>
      </w:pPr>
      <w:r>
        <w:t>Datos generados después del último punto de respaldo disponible.</w:t>
      </w:r>
    </w:p>
    <w:p>
      <w:pPr>
        <w:pStyle w:val="ListBullet"/>
        <w:spacing w:after="40"/>
      </w:pPr>
      <w:r>
        <w:t>Corrupción lógica ya contenida en los respaldos retenidos.</w:t>
      </w:r>
    </w:p>
    <w:p>
      <w:pPr>
        <w:pStyle w:val="ListBullet"/>
        <w:spacing w:after="40"/>
      </w:pPr>
      <w:r>
        <w:t>Archivos o bases fuera del alcance configurado.</w:t>
      </w:r>
    </w:p>
    <w:p>
      <w:pPr>
        <w:pStyle w:val="ListBullet"/>
        <w:spacing w:after="40"/>
      </w:pPr>
      <w:r>
        <w:t>Datos almacenados exclusivamente en terceros no administrados por SYSTCOM.</w:t>
      </w:r>
    </w:p>
    <w:p>
      <w:pPr>
        <w:pStyle w:val="ListBullet"/>
        <w:spacing w:after="40"/>
      </w:pPr>
      <w:r>
        <w:t>Retenciones que hayan expirado.</w:t>
      </w:r>
    </w:p>
    <w:p>
      <w:pPr>
        <w:pStyle w:val="ListBullet"/>
        <w:spacing w:after="40"/>
      </w:pPr>
      <w:r>
        <w:t>Pérdidas causadas por credenciales o acciones del Cliente cuando excedan el alcance de recuperación contratado.</w:t>
      </w:r>
    </w:p>
    <w:p>
      <w:pPr>
        <w:pStyle w:val="ListBullet"/>
        <w:spacing w:after="40"/>
      </w:pPr>
      <w:r>
        <w:t>Imposibilidad de recuperar debido a defectos del software, cifrado no disponible, claves controladas por el Cliente o restricciones de terceros, salvo responsabilidad legal no limitable.</w:t>
      </w:r>
    </w:p>
    <w:p>
      <w:pPr>
        <w:pStyle w:val="Heading1"/>
      </w:pPr>
      <w:r>
        <w:t>12. Continuidad y desastre</w:t>
      </w:r>
    </w:p>
    <w:p>
      <w:r>
        <w:t>La continuidad operacional puede requerir reconstrucción de servidores, redes, dominios, certificados, repositorios y servicios externos. Un respaldo de datos por sí solo no constituye una solución de alta disponibilidad ni un plan completo de Disaster Recovery. Las arquitecturas de HA/DR deberán ser diseñadas y contratadas expresamente.</w:t>
      </w:r>
    </w:p>
    <w:p>
      <w:pPr>
        <w:pStyle w:val="Heading1"/>
      </w:pPr>
      <w:r>
        <w:t>13. Responsabilidad del Cliente</w:t>
      </w:r>
    </w:p>
    <w:p>
      <w:pPr>
        <w:pStyle w:val="ListBullet"/>
        <w:spacing w:after="40"/>
      </w:pPr>
      <w:r>
        <w:t>Definir retenciones legales y de negocio requeridas.</w:t>
      </w:r>
    </w:p>
    <w:p>
      <w:pPr>
        <w:pStyle w:val="ListBullet"/>
        <w:spacing w:after="40"/>
      </w:pPr>
      <w:r>
        <w:t>Solicitar oportunamente exportaciones históricas antes de que expire la retención.</w:t>
      </w:r>
    </w:p>
    <w:p>
      <w:pPr>
        <w:pStyle w:val="ListBullet"/>
        <w:spacing w:after="40"/>
      </w:pPr>
      <w:r>
        <w:t>Mantener copias adicionales cuando el riesgo o regulación lo exija.</w:t>
      </w:r>
    </w:p>
    <w:p>
      <w:pPr>
        <w:pStyle w:val="ListBullet"/>
        <w:spacing w:after="40"/>
      </w:pPr>
      <w:r>
        <w:t>Validar los datos después de una restauración y antes de reanudar procesos sensibles.</w:t>
      </w:r>
    </w:p>
    <w:p>
      <w:pPr>
        <w:pStyle w:val="ListBullet"/>
        <w:spacing w:after="40"/>
      </w:pPr>
      <w:r>
        <w:t>Mantener disponibles las credenciales, llaves o accesos bajo su control necesarios para recuperación.</w:t>
      </w:r>
    </w:p>
    <w:p>
      <w:pPr>
        <w:pStyle w:val="Heading1"/>
      </w:pPr>
      <w:r>
        <w:t>14. Terminación del servicio</w:t>
      </w:r>
    </w:p>
    <w:p>
      <w:r>
        <w:t>Al finalizar el servicio, se aplicará el período de devolución indicado en los Términos Generales y el DPA. Una vez vencido dicho período, los respaldos se eliminarán conforme a sus ciclos normales de retención, salvo obligación legal o acuerdo escrito diferente.</w:t>
      </w:r>
    </w:p>
    <w:p>
      <w:pPr>
        <w:pStyle w:val="Heading1"/>
      </w:pPr>
      <w:r>
        <w:t>15. Relación con el SLA y responsabilidad</w:t>
      </w:r>
    </w:p>
    <w:p>
      <w:r>
        <w:t>Los RPO/RTO y créditos sólo tendrán carácter contractual cuando así se establezca expresamente. Toda responsabilidad derivada del servicio se encuentra sujeta a los Términos Generales y a las limitaciones de responsabilidad allí pactadas, salvo disposiciones legales imperativas.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666666"/>
        <w:sz w:val="16"/>
      </w:rPr>
      <w:t xml:space="preserve">SYSTCOM-BCR-2026  |  Versión 1.0 - septiembre 2026  |  Página </w:t>
    </w:r>
    <w: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/>
        <w:b/>
        <w:color w:val="666666"/>
        <w:sz w:val="17"/>
      </w:rPr>
      <w:t>SYSTCOM LTDA.  |  Marco Contractual 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F28C28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2B2B2B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100"/>
      <w:outlineLvl w:val="2"/>
    </w:pPr>
    <w:rPr>
      <w:rFonts w:asciiTheme="majorHAnsi" w:eastAsiaTheme="majorEastAsia" w:hAnsiTheme="majorHAnsi" w:cstheme="majorBidi" w:ascii="Aptos" w:hAnsi="Aptos"/>
      <w:b/>
      <w:bCs/>
      <w:color w:val="666666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B2B2B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LegalNote">
    <w:name w:val="Legal Note"/>
    <w:pPr>
      <w:spacing w:after="80"/>
    </w:pPr>
    <w:rPr>
      <w:rFonts w:ascii="Aptos" w:hAnsi="Aptos"/>
      <w:color w:val="666666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