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ptos Display" w:hAnsi="Aptos Display"/>
          <w:b/>
          <w:color w:val="F28C28"/>
          <w:sz w:val="44"/>
        </w:rPr>
        <w:t>SYSTCOM</w:t>
      </w:r>
    </w:p>
    <w:p>
      <w:pPr>
        <w:pStyle w:val="Title"/>
      </w:pPr>
      <w:r>
        <w:t>POLÍTICA DE USO ACEPTABLE</w:t>
      </w:r>
    </w:p>
    <w:p>
      <w:pPr>
        <w:jc w:val="left"/>
      </w:pPr>
      <w:r>
        <w:rPr>
          <w:rFonts w:ascii="Aptos" w:hAnsi="Aptos"/>
          <w:color w:val="666666"/>
          <w:sz w:val="24"/>
        </w:rPr>
        <w:t>Reglas de utilización segura y razonable de servicios cloud, SaaS, infraestructura y plataformas administradas</w:t>
      </w:r>
    </w:p>
    <w:p/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F4F4F4"/>
            <w:vAlign w:val="center"/>
          </w:tcPr>
          <w:p>
            <w:r>
              <w:rPr>
                <w:rFonts w:ascii="Aptos" w:hAnsi="Aptos"/>
                <w:b w:val="0"/>
                <w:sz w:val="19"/>
              </w:rPr>
              <w:t>Proveedor</w:t>
            </w:r>
          </w:p>
        </w:tc>
        <w:tc>
          <w:tcPr>
            <w:tcW w:type="dxa" w:w="4968"/>
            <w:vAlign w:val="center"/>
          </w:tcPr>
          <w:p>
            <w:r>
              <w:rPr>
                <w:rFonts w:ascii="Aptos" w:hAnsi="Aptos"/>
                <w:b w:val="0"/>
                <w:sz w:val="19"/>
              </w:rPr>
              <w:t>SYSTCOM LTDA. - RUT 76.559.505-3</w:t>
            </w:r>
          </w:p>
        </w:tc>
      </w:tr>
      <w:tr>
        <w:tc>
          <w:tcPr>
            <w:tcW w:type="dxa" w:w="4968"/>
            <w:shd w:fill="F4F4F4"/>
            <w:vAlign w:val="center"/>
          </w:tcPr>
          <w:p>
            <w:r>
              <w:rPr>
                <w:rFonts w:ascii="Aptos" w:hAnsi="Aptos"/>
                <w:b w:val="0"/>
                <w:sz w:val="19"/>
              </w:rPr>
              <w:t>Versión</w:t>
            </w:r>
          </w:p>
        </w:tc>
        <w:tc>
          <w:tcPr>
            <w:tcW w:type="dxa" w:w="4968"/>
            <w:vAlign w:val="center"/>
          </w:tcPr>
          <w:p>
            <w:r>
              <w:rPr>
                <w:rFonts w:ascii="Aptos" w:hAnsi="Aptos"/>
                <w:b w:val="0"/>
                <w:sz w:val="19"/>
              </w:rPr>
              <w:t>1.0 - septiembre 2026</w:t>
            </w:r>
          </w:p>
        </w:tc>
      </w:tr>
      <w:tr>
        <w:tc>
          <w:tcPr>
            <w:tcW w:type="dxa" w:w="4968"/>
            <w:shd w:fill="F4F4F4"/>
            <w:vAlign w:val="center"/>
          </w:tcPr>
          <w:p>
            <w:r>
              <w:rPr>
                <w:rFonts w:ascii="Aptos" w:hAnsi="Aptos"/>
                <w:b w:val="0"/>
                <w:sz w:val="19"/>
              </w:rPr>
              <w:t>Aplicación</w:t>
            </w:r>
          </w:p>
        </w:tc>
        <w:tc>
          <w:tcPr>
            <w:tcW w:type="dxa" w:w="4968"/>
            <w:vAlign w:val="center"/>
          </w:tcPr>
          <w:p>
            <w:r>
              <w:rPr>
                <w:rFonts w:ascii="Aptos" w:hAnsi="Aptos"/>
                <w:b w:val="0"/>
                <w:sz w:val="19"/>
              </w:rPr>
              <w:t>Servicios informáticos, ERP/Odoo, SaaS, cloud, infraestructura administrada, soporte, desarrollo e integraciones, según propuesta comercial.</w:t>
            </w:r>
          </w:p>
        </w:tc>
      </w:tr>
      <w:tr>
        <w:tc>
          <w:tcPr>
            <w:tcW w:type="dxa" w:w="4968"/>
            <w:shd w:fill="F4F4F4"/>
            <w:vAlign w:val="center"/>
          </w:tcPr>
          <w:p>
            <w:r>
              <w:rPr>
                <w:rFonts w:ascii="Aptos" w:hAnsi="Aptos"/>
                <w:b w:val="0"/>
                <w:sz w:val="19"/>
              </w:rPr>
              <w:t>Estado</w:t>
            </w:r>
          </w:p>
        </w:tc>
        <w:tc>
          <w:tcPr>
            <w:tcW w:type="dxa" w:w="4968"/>
            <w:vAlign w:val="center"/>
          </w:tcPr>
          <w:p>
            <w:r>
              <w:rPr>
                <w:rFonts w:ascii="Aptos" w:hAnsi="Aptos"/>
                <w:b w:val="0"/>
                <w:sz w:val="19"/>
              </w:rPr>
              <w:t>BORRADOR CONTRACTUAL PARA REVISIÓN LEGAL ANTES DE SU PUBLICACIÓN O FIRMA</w:t>
            </w:r>
          </w:p>
        </w:tc>
      </w:tr>
    </w:tbl>
    <w:p/>
    <w:p>
      <w:pPr>
        <w:pStyle w:val="LegalNote"/>
      </w:pPr>
      <w:r>
        <w:rPr>
          <w:b/>
        </w:rPr>
        <w:t xml:space="preserve">Nota: </w:t>
      </w:r>
      <w:r>
        <w:t>Este documento es una propuesta contractual de gestión de riesgos y operación tecnológica. Debe ser revisado por asesoría jurídica chilena antes de utilizarse como contrato definitivo. Cuando exista una propuesta comercial, orden de compra, SLA o anexo específico, éstos prevalecerán sólo respecto de la materia particular que regulen, conforme al orden de prelación definido en los Términos Generales.</w:t>
      </w:r>
    </w:p>
    <w:p>
      <w:r>
        <w:br w:type="page"/>
      </w:r>
    </w:p>
    <w:p>
      <w:pPr>
        <w:pStyle w:val="Heading1"/>
      </w:pPr>
      <w:r>
        <w:t>1. Objeto</w:t>
      </w:r>
    </w:p>
    <w:p>
      <w:r>
        <w:t>Esta Política de Uso Aceptable (“PUA”) protege la seguridad, disponibilidad, reputación y operación de los servicios prestados por SYSTCOM y de los demás clientes o terceros que puedan verse afectados por su uso. Se aplica a usuarios, administradores, integraciones, APIs, procesos automatizados y cualquier persona que utilice recursos provistos o administrados por SYSTCOM.</w:t>
      </w:r>
    </w:p>
    <w:p>
      <w:pPr>
        <w:pStyle w:val="Heading1"/>
      </w:pPr>
      <w:r>
        <w:t>2. Principio general de uso</w:t>
      </w:r>
    </w:p>
    <w:p>
      <w:r>
        <w:t>El Cliente utilizará los servicios únicamente para fines lícitos, legítimos y compatibles con el alcance contratado. No deberá ejecutar actividades que comprometan la seguridad, estabilidad, capacidad o derechos de SYSTCOM, del propio Cliente o de terceros.</w:t>
      </w:r>
    </w:p>
    <w:p>
      <w:pPr>
        <w:pStyle w:val="Heading1"/>
      </w:pPr>
      <w:r>
        <w:t>3. Usos prohibidos</w:t>
      </w:r>
    </w:p>
    <w:p>
      <w:pPr>
        <w:pStyle w:val="Heading2"/>
      </w:pPr>
      <w:r>
        <w:t>3.1 Actividades ilegales, fraudulentas o perjudiciales</w:t>
      </w:r>
    </w:p>
    <w:p>
      <w:pPr>
        <w:pStyle w:val="ListBullet"/>
        <w:spacing w:after="40"/>
      </w:pPr>
      <w:r>
        <w:t>Procesar, almacenar, publicar o distribuir contenido ilegal cuando SYSTCOM tenga participación técnica en dicho tratamiento y el Cliente carezca de base legal para ello.</w:t>
      </w:r>
    </w:p>
    <w:p>
      <w:pPr>
        <w:pStyle w:val="ListBullet"/>
        <w:spacing w:after="40"/>
      </w:pPr>
      <w:r>
        <w:t>Phishing, suplantación de identidad, fraude, estafa, ingeniería social, campañas engañosas o actividades destinadas a obtener credenciales o información sin autorización.</w:t>
      </w:r>
    </w:p>
    <w:p>
      <w:pPr>
        <w:pStyle w:val="ListBullet"/>
        <w:spacing w:after="40"/>
      </w:pPr>
      <w:r>
        <w:t>Infringir derechos de autor, marcas, secretos empresariales u otros derechos de propiedad intelectual de terceros.</w:t>
      </w:r>
    </w:p>
    <w:p>
      <w:pPr>
        <w:pStyle w:val="ListBullet"/>
        <w:spacing w:after="40"/>
      </w:pPr>
      <w:r>
        <w:t>Utilizar el servicio para vulnerar derechos de privacidad o tratar datos personales sin una base de licitud o autorización aplicable.</w:t>
      </w:r>
    </w:p>
    <w:p>
      <w:pPr>
        <w:pStyle w:val="Heading2"/>
      </w:pPr>
      <w:r>
        <w:t>3.2 Seguridad y acceso no autorizado</w:t>
      </w:r>
    </w:p>
    <w:p>
      <w:pPr>
        <w:pStyle w:val="ListBullet"/>
        <w:spacing w:after="40"/>
      </w:pPr>
      <w:r>
        <w:t>Intentar acceder a sistemas, bases de datos, redes, cuentas o información sin autorización.</w:t>
      </w:r>
    </w:p>
    <w:p>
      <w:pPr>
        <w:pStyle w:val="ListBullet"/>
        <w:spacing w:after="40"/>
      </w:pPr>
      <w:r>
        <w:t>Ejecutar escaneos de vulnerabilidades, pruebas de penetración, explotación, fuzzing, sniffing, interceptación o herramientas de ataque sobre infraestructura SYSTCOM sin autorización previa y escrita.</w:t>
      </w:r>
    </w:p>
    <w:p>
      <w:pPr>
        <w:pStyle w:val="ListBullet"/>
        <w:spacing w:after="40"/>
      </w:pPr>
      <w:r>
        <w:t>Instalar malware, ransomware, puertas traseras, botnets, mineros de criptomonedas o herramientas destinadas a persistencia o control no autorizado.</w:t>
      </w:r>
    </w:p>
    <w:p>
      <w:pPr>
        <w:pStyle w:val="ListBullet"/>
        <w:spacing w:after="40"/>
      </w:pPr>
      <w:r>
        <w:t>Compartir credenciales personales, desactivar controles de seguridad o eludir límites de acceso, licenciamiento o autenticación.</w:t>
      </w:r>
    </w:p>
    <w:p>
      <w:pPr>
        <w:pStyle w:val="Heading2"/>
      </w:pPr>
      <w:r>
        <w:t>3.3 Abuso de red, cómputo o almacenamiento</w:t>
      </w:r>
    </w:p>
    <w:p>
      <w:pPr>
        <w:pStyle w:val="ListBullet"/>
        <w:spacing w:after="40"/>
      </w:pPr>
      <w:r>
        <w:t>Generar tráfico, consultas, procesos, jobs, cargas masivas o llamadas API que degraden materialmente el servicio o afecten a otros usuarios sin coordinación previa.</w:t>
      </w:r>
    </w:p>
    <w:p>
      <w:pPr>
        <w:pStyle w:val="ListBullet"/>
        <w:spacing w:after="40"/>
      </w:pPr>
      <w:r>
        <w:t>Ejecutar ataques DoS/DDoS o utilizar la infraestructura para atacar, explorar o degradar sistemas de terceros.</w:t>
      </w:r>
    </w:p>
    <w:p>
      <w:pPr>
        <w:pStyle w:val="ListBullet"/>
        <w:spacing w:after="40"/>
      </w:pPr>
      <w:r>
        <w:t>Utilizar recursos de cómputo para minería de criptomonedas, cracking, procesamiento masivo no contratado u otras cargas ajenas al objeto del servicio.</w:t>
      </w:r>
    </w:p>
    <w:p>
      <w:pPr>
        <w:pStyle w:val="ListBullet"/>
        <w:spacing w:after="40"/>
      </w:pPr>
      <w:r>
        <w:t>Usar la plataforma como repositorio general de archivos, backups, multimedia o datos no relacionados con la aplicación cuando ello exceda el almacenamiento contratado.</w:t>
      </w:r>
    </w:p>
    <w:p>
      <w:pPr>
        <w:pStyle w:val="ListBullet"/>
        <w:spacing w:after="40"/>
      </w:pPr>
      <w:r>
        <w:t>Realizar scraping o automatizaciones sin límites razonables que puedan afectar rendimiento, especialmente contra endpoints no diseñados para alto volumen.</w:t>
      </w:r>
    </w:p>
    <w:p>
      <w:pPr>
        <w:pStyle w:val="Heading2"/>
      </w:pPr>
      <w:r>
        <w:t>3.4 Mensajería y correo</w:t>
      </w:r>
    </w:p>
    <w:p>
      <w:pPr>
        <w:pStyle w:val="ListBullet"/>
        <w:spacing w:after="40"/>
      </w:pPr>
      <w:r>
        <w:t>Enviar spam, correo masivo no solicitado o mensajes sin mecanismos de consentimiento y exclusión cuando éstos sean legalmente exigibles.</w:t>
      </w:r>
    </w:p>
    <w:p>
      <w:pPr>
        <w:pStyle w:val="ListBullet"/>
        <w:spacing w:after="40"/>
      </w:pPr>
      <w:r>
        <w:t>Utilizar remitentes, dominios o encabezados falsificados de manera engañosa.</w:t>
      </w:r>
    </w:p>
    <w:p>
      <w:pPr>
        <w:pStyle w:val="ListBullet"/>
        <w:spacing w:after="40"/>
      </w:pPr>
      <w:r>
        <w:t>Mantener listas de correo obtenidas ilícitamente o sin controles razonables de calidad y autorización.</w:t>
      </w:r>
    </w:p>
    <w:p>
      <w:pPr>
        <w:pStyle w:val="Heading1"/>
      </w:pPr>
      <w:r>
        <w:t>4. APIs, integraciones y automatizaciones</w:t>
      </w:r>
    </w:p>
    <w:p>
      <w:r>
        <w:t>Las integraciones deberán utilizar mecanismos documentados, credenciales propias, límites de velocidad y patrones de reintento razonables. El Cliente deberá coordinar cargas extraordinarias, importaciones masivas, sincronizaciones históricas o procesos que puedan elevar sustancialmente el uso de CPU, memoria, almacenamiento, I/O o conexiones.</w:t>
      </w:r>
    </w:p>
    <w:p>
      <w:r>
        <w:t>SYSTCOM podrá aplicar límites técnicos, colas, throttling, pausas o ventanas de ejecución para proteger la estabilidad del servicio.</w:t>
      </w:r>
    </w:p>
    <w:p>
      <w:pPr>
        <w:pStyle w:val="Heading1"/>
      </w:pPr>
      <w:r>
        <w:t>5. Seguridad de cuentas</w:t>
      </w:r>
    </w:p>
    <w:p>
      <w:pPr>
        <w:pStyle w:val="ListBullet"/>
        <w:spacing w:after="40"/>
      </w:pPr>
      <w:r>
        <w:t>Cada usuario deberá disponer de una cuenta individual cuando el sistema lo permita.</w:t>
      </w:r>
    </w:p>
    <w:p>
      <w:pPr>
        <w:pStyle w:val="ListBullet"/>
        <w:spacing w:after="40"/>
      </w:pPr>
      <w:r>
        <w:t>Las contraseñas deben ser robustas y no reutilizarse de forma insegura.</w:t>
      </w:r>
    </w:p>
    <w:p>
      <w:pPr>
        <w:pStyle w:val="ListBullet"/>
        <w:spacing w:after="40"/>
      </w:pPr>
      <w:r>
        <w:t>El Cliente deberá revocar oportunamente usuarios de personas que dejen de estar autorizadas.</w:t>
      </w:r>
    </w:p>
    <w:p>
      <w:pPr>
        <w:pStyle w:val="ListBullet"/>
        <w:spacing w:after="40"/>
      </w:pPr>
      <w:r>
        <w:t>SYSTCOM podrá exigir autenticación multifactor para perfiles administrativos o accesos remotos cuando el servicio lo soporte y el nivel de riesgo lo justifique.</w:t>
      </w:r>
    </w:p>
    <w:p>
      <w:pPr>
        <w:pStyle w:val="ListBullet"/>
        <w:spacing w:after="40"/>
      </w:pPr>
      <w:r>
        <w:t>Las credenciales técnicas, claves API y llaves privadas deben custodiarse en mecanismos apropiados y no incluirse en repositorios públicos.</w:t>
      </w:r>
    </w:p>
    <w:p>
      <w:pPr>
        <w:pStyle w:val="Heading1"/>
      </w:pPr>
      <w:r>
        <w:t>6. Uso de datos personales y sensibles</w:t>
      </w:r>
    </w:p>
    <w:p>
      <w:r>
        <w:t>El Cliente es responsable de determinar qué datos personales puede incorporar al servicio. No deberá cargar categorías de datos de alto riesgo o sensibles en ambientes de prueba, demostración o desarrollo salvo que exista una necesidad documentada, controles apropiados y autorización conforme a la normativa aplicable. Cuando sea posible, deberán utilizarse datos anonimizados, seudonimizados o sintéticos.</w:t>
      </w:r>
    </w:p>
    <w:p>
      <w:pPr>
        <w:pStyle w:val="Heading1"/>
      </w:pPr>
      <w:r>
        <w:t>7. Monitoreo y medidas de protección</w:t>
      </w:r>
    </w:p>
    <w:p>
      <w:r>
        <w:t>SYSTCOM podrá utilizar herramientas de monitoreo técnico, logs, métricas y mecanismos de detección para proteger infraestructura y verificar cumplimiento, respetando las obligaciones de confidencialidad y protección de datos aplicables. Dicho monitoreo no convierte a SYSTCOM en responsable del contenido o actividad empresarial del Cliente.</w:t>
      </w:r>
    </w:p>
    <w:p>
      <w:pPr>
        <w:pStyle w:val="Heading1"/>
      </w:pPr>
      <w:r>
        <w:t>8. Investigación de abusos</w:t>
      </w:r>
    </w:p>
    <w:p>
      <w:r>
        <w:t>Ante indicios razonables de infracción, SYSTCOM podrá solicitar información, limitar temporalmente procesos, bloquear credenciales, aislar componentes o conservar evidencias técnicas necesarias para investigar y contener el evento. El Cliente deberá cooperar de buena fe.</w:t>
      </w:r>
    </w:p>
    <w:p>
      <w:pPr>
        <w:pStyle w:val="Heading1"/>
      </w:pPr>
      <w:r>
        <w:t>9. Suspensión inmediata</w:t>
      </w:r>
    </w:p>
    <w:p>
      <w:r>
        <w:t>SYSTCOM podrá suspender inmediatamente y sin aviso previo la parte necesaria del servicio cuando exista un riesgo material e inminente para la seguridad, integridad o disponibilidad de infraestructura; actividad ilegal manifiesta; ataque en curso; compromiso de credenciales; malware; abuso severo de recursos; o requerimiento legal válido. SYSTCOM procurará informar al Cliente tan pronto como resulte razonablemente posible y limitar la medida al tiempo y alcance necesarios.</w:t>
      </w:r>
    </w:p>
    <w:p>
      <w:pPr>
        <w:pStyle w:val="Heading1"/>
      </w:pPr>
      <w:r>
        <w:t>10. Incumplimientos no urgentes</w:t>
      </w:r>
    </w:p>
    <w:p>
      <w:r>
        <w:t>Cuando el riesgo no sea inmediato, SYSTCOM podrá requerir la corrección dentro de un plazo razonable. La reiteración, negativa a corregir o afectación a terceros podrá generar suspensión o término conforme a los Términos Generales.</w:t>
      </w:r>
    </w:p>
    <w:p>
      <w:pPr>
        <w:pStyle w:val="Heading1"/>
      </w:pPr>
      <w:r>
        <w:t>11. Costos derivados de abuso</w:t>
      </w:r>
    </w:p>
    <w:p>
      <w:r>
        <w:t>Los consumos extraordinarios, trabajos de recuperación, análisis forense, mitigación o soporte originados en una infracción imputable al Cliente podrán ser cobrados como servicios adicionales cuando no estén incluidos en el plan contratado, sin perjuicio de las responsabilidades que correspondan.</w:t>
      </w:r>
    </w:p>
    <w:p>
      <w:pPr>
        <w:pStyle w:val="Heading1"/>
      </w:pPr>
      <w:r>
        <w:t>12. Reporte responsable</w:t>
      </w:r>
    </w:p>
    <w:p>
      <w:r>
        <w:t>Las vulnerabilidades o incidentes detectados por el Cliente deberán informarse por los canales de soporte o seguridad definidos por SYSTCOM. No deberán divulgarse públicamente detalles técnicos que incrementen el riesgo antes de contar con una oportunidad razonable de mitigación, salvo obligación legal.</w:t>
      </w:r>
    </w:p>
    <w:p>
      <w:pPr>
        <w:pStyle w:val="Heading1"/>
      </w:pPr>
      <w:r>
        <w:t>13. Relación contractual</w:t>
      </w:r>
    </w:p>
    <w:p>
      <w:r>
        <w:t>Esta Política forma parte del marco contractual de SYSTCOM cuando es incorporada por referencia en la propuesta, contrato o Términos Generales. Las suspensiones realizadas de conformidad con esta Política no se considerarán indisponibilidad imputable a SYSTCOM para efectos del SLA.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66666"/>
        <w:sz w:val="16"/>
      </w:rPr>
      <w:t xml:space="preserve">SYSTCOM-AUP-2026  |  Versión 1.0 - septiembre 2026  |  Página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666666"/>
        <w:sz w:val="17"/>
      </w:rPr>
      <w:t>SYSTCOM LTDA.  |  Marco Contractual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F28C2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B2B2B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Aptos" w:hAnsi="Aptos"/>
      <w:b/>
      <w:bCs/>
      <w:color w:val="666666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B2B2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galNote">
    <w:name w:val="Legal Note"/>
    <w:pPr>
      <w:spacing w:after="80"/>
    </w:pPr>
    <w:rPr>
      <w:rFonts w:ascii="Aptos" w:hAnsi="Aptos"/>
      <w:color w:val="666666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