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ptos Display" w:hAnsi="Aptos Display"/>
          <w:b/>
          <w:color w:val="F28C28"/>
          <w:sz w:val="44"/>
        </w:rPr>
        <w:t>SYSTCOM</w:t>
      </w:r>
    </w:p>
    <w:p>
      <w:pPr>
        <w:pStyle w:val="Title"/>
      </w:pPr>
      <w:r>
        <w:t>ACUERDO DE NIVEL DE SERVICIO (SLA)</w:t>
      </w:r>
    </w:p>
    <w:p>
      <w:pPr>
        <w:jc w:val="left"/>
      </w:pPr>
      <w:r>
        <w:rPr>
          <w:rFonts w:ascii="Aptos" w:hAnsi="Aptos"/>
          <w:color w:val="666666"/>
          <w:sz w:val="24"/>
        </w:rPr>
        <w:t>Disponibilidad de infraestructura, mantenimiento, medición y gestión de incidentes</w:t>
      </w:r>
    </w:p>
    <w:p/>
    <w:tbl>
      <w:tblPr>
        <w:tblStyle w:val="TableGrid"/>
        <w:tblW w:type="auto" w:w="0"/>
        <w:jc w:val="left"/>
        <w:tblLook w:firstColumn="1" w:firstRow="1" w:lastColumn="0" w:lastRow="0" w:noHBand="0" w:noVBand="1" w:val="04A0"/>
      </w:tblPr>
      <w:tblGrid>
        <w:gridCol w:w="4968"/>
        <w:gridCol w:w="4968"/>
      </w:tblGrid>
      <w:tr>
        <w:tc>
          <w:tcPr>
            <w:tcW w:type="dxa" w:w="4968"/>
            <w:shd w:fill="F4F4F4"/>
            <w:vAlign w:val="center"/>
          </w:tcPr>
          <w:p>
            <w:r>
              <w:rPr>
                <w:rFonts w:ascii="Aptos" w:hAnsi="Aptos"/>
                <w:b w:val="0"/>
                <w:sz w:val="19"/>
              </w:rPr>
              <w:t>Proveedor</w:t>
            </w:r>
          </w:p>
        </w:tc>
        <w:tc>
          <w:tcPr>
            <w:tcW w:type="dxa" w:w="4968"/>
            <w:vAlign w:val="center"/>
          </w:tcPr>
          <w:p>
            <w:r>
              <w:rPr>
                <w:rFonts w:ascii="Aptos" w:hAnsi="Aptos"/>
                <w:b w:val="0"/>
                <w:sz w:val="19"/>
              </w:rPr>
              <w:t>SYSTCOM LTDA. - RUT 76.559.505-3</w:t>
            </w:r>
          </w:p>
        </w:tc>
      </w:tr>
      <w:tr>
        <w:tc>
          <w:tcPr>
            <w:tcW w:type="dxa" w:w="4968"/>
            <w:shd w:fill="F4F4F4"/>
            <w:vAlign w:val="center"/>
          </w:tcPr>
          <w:p>
            <w:r>
              <w:rPr>
                <w:rFonts w:ascii="Aptos" w:hAnsi="Aptos"/>
                <w:b w:val="0"/>
                <w:sz w:val="19"/>
              </w:rPr>
              <w:t>Versión</w:t>
            </w:r>
          </w:p>
        </w:tc>
        <w:tc>
          <w:tcPr>
            <w:tcW w:type="dxa" w:w="4968"/>
            <w:vAlign w:val="center"/>
          </w:tcPr>
          <w:p>
            <w:r>
              <w:rPr>
                <w:rFonts w:ascii="Aptos" w:hAnsi="Aptos"/>
                <w:b w:val="0"/>
                <w:sz w:val="19"/>
              </w:rPr>
              <w:t>1.0 - septiembre 2026</w:t>
            </w:r>
          </w:p>
        </w:tc>
      </w:tr>
      <w:tr>
        <w:tc>
          <w:tcPr>
            <w:tcW w:type="dxa" w:w="4968"/>
            <w:shd w:fill="F4F4F4"/>
            <w:vAlign w:val="center"/>
          </w:tcPr>
          <w:p>
            <w:r>
              <w:rPr>
                <w:rFonts w:ascii="Aptos" w:hAnsi="Aptos"/>
                <w:b w:val="0"/>
                <w:sz w:val="19"/>
              </w:rPr>
              <w:t>Aplicación</w:t>
            </w:r>
          </w:p>
        </w:tc>
        <w:tc>
          <w:tcPr>
            <w:tcW w:type="dxa" w:w="4968"/>
            <w:vAlign w:val="center"/>
          </w:tcPr>
          <w:p>
            <w:r>
              <w:rPr>
                <w:rFonts w:ascii="Aptos" w:hAnsi="Aptos"/>
                <w:b w:val="0"/>
                <w:sz w:val="19"/>
              </w:rPr>
              <w:t>Servicios informáticos, ERP/Odoo, SaaS, cloud, infraestructura administrada, soporte, desarrollo e integraciones, según propuesta comercial.</w:t>
            </w:r>
          </w:p>
        </w:tc>
      </w:tr>
      <w:tr>
        <w:tc>
          <w:tcPr>
            <w:tcW w:type="dxa" w:w="4968"/>
            <w:shd w:fill="F4F4F4"/>
            <w:vAlign w:val="center"/>
          </w:tcPr>
          <w:p>
            <w:r>
              <w:rPr>
                <w:rFonts w:ascii="Aptos" w:hAnsi="Aptos"/>
                <w:b w:val="0"/>
                <w:sz w:val="19"/>
              </w:rPr>
              <w:t>Estado</w:t>
            </w:r>
          </w:p>
        </w:tc>
        <w:tc>
          <w:tcPr>
            <w:tcW w:type="dxa" w:w="4968"/>
            <w:vAlign w:val="center"/>
          </w:tcPr>
          <w:p>
            <w:r>
              <w:rPr>
                <w:rFonts w:ascii="Aptos" w:hAnsi="Aptos"/>
                <w:b w:val="0"/>
                <w:sz w:val="19"/>
              </w:rPr>
              <w:t>BORRADOR CONTRACTUAL PARA REVISIÓN LEGAL ANTES DE SU PUBLICACIÓN O FIRMA</w:t>
            </w:r>
          </w:p>
        </w:tc>
      </w:tr>
    </w:tbl>
    <w:p/>
    <w:p>
      <w:pPr>
        <w:pStyle w:val="LegalNote"/>
      </w:pPr>
      <w:r>
        <w:rPr>
          <w:b/>
        </w:rPr>
        <w:t xml:space="preserve">Nota: </w:t>
      </w:r>
      <w:r>
        <w:t>Este documento es una propuesta contractual de gestión de riesgos y operación tecnológica. Debe ser revisado por asesoría jurídica chilena antes de utilizarse como contrato definitivo. Cuando exista una propuesta comercial, orden de compra, SLA o anexo específico, éstos prevalecerán sólo respecto de la materia particular que regulen, conforme al orden de prelación definido en los Términos Generales.</w:t>
      </w:r>
    </w:p>
    <w:p>
      <w:r>
        <w:br w:type="page"/>
      </w:r>
    </w:p>
    <w:p>
      <w:pPr>
        <w:pStyle w:val="Heading1"/>
      </w:pPr>
      <w:r>
        <w:t>1. Objeto</w:t>
      </w:r>
    </w:p>
    <w:p>
      <w:r>
        <w:t>Este SLA define cómo se medirán los niveles de servicio aplicables a infraestructura y servicios administrados por SYSTCOM cuando la propuesta comercial indique expresamente que un SLA contractual forma parte del servicio. Si la propuesta no establece una meta de disponibilidad, RPO/RTO o tiempos de respuesta, dichos indicadores tendrán carácter operacional y no constituirán garantía contractual.</w:t>
      </w:r>
    </w:p>
    <w:p>
      <w:pPr>
        <w:pStyle w:val="Heading1"/>
      </w:pPr>
      <w:r>
        <w:t>2. Alcance del SLA</w:t>
      </w:r>
    </w:p>
    <w:p>
      <w:r>
        <w:t>El SLA aplica exclusivamente a los componentes que SYSTCOM administra directamente y que estén identificados como cubiertos. No se extiende automáticamente a Odoo estándar, módulos de terceros, sistemas del Cliente, proveedores de Internet, energía, APIs externas, servicios tributarios, bancos, medios de pago, marketplaces, operadores logísticos u otros terceros.</w:t>
      </w:r>
    </w:p>
    <w:p>
      <w:pPr>
        <w:pStyle w:val="Heading1"/>
      </w:pPr>
      <w:r>
        <w:t>3. Horario de servicio</w:t>
      </w:r>
    </w:p>
    <w:tbl>
      <w:tblPr>
        <w:tblStyle w:val="TableGrid"/>
        <w:tblW w:type="auto" w:w="0"/>
        <w:jc w:val="center"/>
        <w:tblLook w:firstColumn="1" w:firstRow="1" w:lastColumn="0" w:lastRow="0" w:noHBand="0" w:noVBand="1" w:val="04A0"/>
      </w:tblPr>
      <w:tblGrid>
        <w:gridCol w:w="4968"/>
        <w:gridCol w:w="4968"/>
      </w:tblGrid>
      <w:tr>
        <w:trPr>
          <w:tblHeader w:val="true"/>
          <w:cantSplit/>
        </w:trPr>
        <w:tc>
          <w:tcPr>
            <w:tcW w:type="dxa" w:w="2880"/>
            <w:shd w:fill="F28C28"/>
          </w:tcPr>
          <w:p>
            <w:r>
              <w:rPr>
                <w:rFonts w:ascii="Aptos" w:hAnsi="Aptos"/>
                <w:b/>
                <w:color w:val="FFFFFF"/>
                <w:sz w:val="18"/>
              </w:rPr>
              <w:t>Modalidad</w:t>
            </w:r>
          </w:p>
        </w:tc>
        <w:tc>
          <w:tcPr>
            <w:tcW w:type="dxa" w:w="7344"/>
            <w:shd w:fill="F28C28"/>
          </w:tcPr>
          <w:p>
            <w:r>
              <w:rPr>
                <w:rFonts w:ascii="Aptos" w:hAnsi="Aptos"/>
                <w:b/>
                <w:color w:val="FFFFFF"/>
                <w:sz w:val="18"/>
              </w:rPr>
              <w:t>Horario</w:t>
            </w:r>
          </w:p>
        </w:tc>
      </w:tr>
      <w:tr>
        <w:trPr>
          <w:cantSplit/>
        </w:trPr>
        <w:tc>
          <w:tcPr>
            <w:tcW w:type="dxa" w:w="2880"/>
            <w:vAlign w:val="top"/>
            <w:tcBorders>
              <w:top w:val="single" w:sz="4" w:color="D9D9D9"/>
              <w:left w:val="single" w:sz="4" w:color="D9D9D9"/>
              <w:bottom w:val="single" w:sz="4" w:color="D9D9D9"/>
              <w:right w:val="single" w:sz="4" w:color="D9D9D9"/>
            </w:tcBorders>
          </w:tcPr>
          <w:p>
            <w:r>
              <w:rPr>
                <w:rFonts w:ascii="Aptos" w:hAnsi="Aptos"/>
                <w:sz w:val="17"/>
              </w:rPr>
              <w:t>Soporte estándar</w:t>
            </w:r>
          </w:p>
        </w:tc>
        <w:tc>
          <w:tcPr>
            <w:tcW w:type="dxa" w:w="7344"/>
            <w:vAlign w:val="top"/>
            <w:tcBorders>
              <w:top w:val="single" w:sz="4" w:color="D9D9D9"/>
              <w:left w:val="single" w:sz="4" w:color="D9D9D9"/>
              <w:bottom w:val="single" w:sz="4" w:color="D9D9D9"/>
              <w:right w:val="single" w:sz="4" w:color="D9D9D9"/>
            </w:tcBorders>
          </w:tcPr>
          <w:p>
            <w:r>
              <w:rPr>
                <w:rFonts w:ascii="Aptos" w:hAnsi="Aptos"/>
                <w:sz w:val="17"/>
              </w:rPr>
              <w:t>Lunes a viernes, 09:00 a 18:00 horas de Chile continental, excluidos feriados legales, salvo propuesta distinta.</w:t>
            </w:r>
          </w:p>
        </w:tc>
      </w:tr>
      <w:tr>
        <w:trPr>
          <w:cantSplit/>
        </w:trPr>
        <w:tc>
          <w:tcPr>
            <w:tcW w:type="dxa" w:w="2880"/>
            <w:vAlign w:val="top"/>
            <w:tcBorders>
              <w:top w:val="single" w:sz="4" w:color="D9D9D9"/>
              <w:left w:val="single" w:sz="4" w:color="D9D9D9"/>
              <w:bottom w:val="single" w:sz="4" w:color="D9D9D9"/>
              <w:right w:val="single" w:sz="4" w:color="D9D9D9"/>
            </w:tcBorders>
          </w:tcPr>
          <w:p>
            <w:r>
              <w:rPr>
                <w:rFonts w:ascii="Aptos" w:hAnsi="Aptos"/>
                <w:sz w:val="17"/>
              </w:rPr>
              <w:t>Soporte extendido</w:t>
            </w:r>
          </w:p>
        </w:tc>
        <w:tc>
          <w:tcPr>
            <w:tcW w:type="dxa" w:w="7344"/>
            <w:vAlign w:val="top"/>
            <w:tcBorders>
              <w:top w:val="single" w:sz="4" w:color="D9D9D9"/>
              <w:left w:val="single" w:sz="4" w:color="D9D9D9"/>
              <w:bottom w:val="single" w:sz="4" w:color="D9D9D9"/>
              <w:right w:val="single" w:sz="4" w:color="D9D9D9"/>
            </w:tcBorders>
          </w:tcPr>
          <w:p>
            <w:r>
              <w:rPr>
                <w:rFonts w:ascii="Aptos" w:hAnsi="Aptos"/>
                <w:sz w:val="17"/>
              </w:rPr>
              <w:t>Según franja expresamente contratada.</w:t>
            </w:r>
          </w:p>
        </w:tc>
      </w:tr>
      <w:tr>
        <w:trPr>
          <w:cantSplit/>
        </w:trPr>
        <w:tc>
          <w:tcPr>
            <w:tcW w:type="dxa" w:w="2880"/>
            <w:vAlign w:val="top"/>
            <w:tcBorders>
              <w:top w:val="single" w:sz="4" w:color="D9D9D9"/>
              <w:left w:val="single" w:sz="4" w:color="D9D9D9"/>
              <w:bottom w:val="single" w:sz="4" w:color="D9D9D9"/>
              <w:right w:val="single" w:sz="4" w:color="D9D9D9"/>
            </w:tcBorders>
          </w:tcPr>
          <w:p>
            <w:r>
              <w:rPr>
                <w:rFonts w:ascii="Aptos" w:hAnsi="Aptos"/>
                <w:sz w:val="17"/>
              </w:rPr>
              <w:t>Atención 24x7</w:t>
            </w:r>
          </w:p>
        </w:tc>
        <w:tc>
          <w:tcPr>
            <w:tcW w:type="dxa" w:w="7344"/>
            <w:vAlign w:val="top"/>
            <w:tcBorders>
              <w:top w:val="single" w:sz="4" w:color="D9D9D9"/>
              <w:left w:val="single" w:sz="4" w:color="D9D9D9"/>
              <w:bottom w:val="single" w:sz="4" w:color="D9D9D9"/>
              <w:right w:val="single" w:sz="4" w:color="D9D9D9"/>
            </w:tcBorders>
          </w:tcPr>
          <w:p>
            <w:r>
              <w:rPr>
                <w:rFonts w:ascii="Aptos" w:hAnsi="Aptos"/>
                <w:sz w:val="17"/>
              </w:rPr>
              <w:t>Sólo para planes que lo indiquen expresamente. La existencia de infraestructura 24x7 no implica soporte humano 24x7.</w:t>
            </w:r>
          </w:p>
        </w:tc>
      </w:tr>
    </w:tbl>
    <w:p/>
    <w:p>
      <w:pPr>
        <w:pStyle w:val="Heading1"/>
      </w:pPr>
      <w:r>
        <w:t>4. Disponibilidad</w:t>
      </w:r>
    </w:p>
    <w:p>
      <w:r>
        <w:t>La “Meta de Disponibilidad Mensual” será la establecida en la propuesta comercial. El cálculo se realizará sobre el servicio cubierto mediante la siguiente fórmula:</w:t>
      </w:r>
    </w:p>
    <w:p>
      <w:pPr>
        <w:jc w:val="center"/>
      </w:pPr>
      <w:r>
        <w:rPr>
          <w:rFonts w:ascii="Aptos" w:hAnsi="Aptos"/>
          <w:b/>
          <w:color w:val="2B2B2B"/>
          <w:sz w:val="20"/>
        </w:rPr>
        <w:t>Disponibilidad (%) = [(Minutos del período - Minutos de indisponibilidad imputable) / Minutos del período] x 100</w:t>
      </w:r>
    </w:p>
    <w:p>
      <w:r>
        <w:t>La indisponibilidad se considerará imputable sólo cuando el componente cubierto no pueda prestar sustancialmente su función principal por una causa bajo control razonable de SYSTCOM y después de aplicar las exclusiones de este SLA.</w:t>
      </w:r>
    </w:p>
    <w:p>
      <w:pPr>
        <w:pStyle w:val="Heading1"/>
      </w:pPr>
      <w:r>
        <w:t>5. Metas contratadas</w:t>
      </w:r>
    </w:p>
    <w:tbl>
      <w:tblPr>
        <w:tblStyle w:val="TableGrid"/>
        <w:tblW w:type="auto" w:w="0"/>
        <w:jc w:val="center"/>
        <w:tblLook w:firstColumn="1" w:firstRow="1" w:lastColumn="0" w:lastRow="0" w:noHBand="0" w:noVBand="1" w:val="04A0"/>
      </w:tblPr>
      <w:tblGrid>
        <w:gridCol w:w="4968"/>
        <w:gridCol w:w="4968"/>
      </w:tblGrid>
      <w:tr>
        <w:trPr>
          <w:tblHeader w:val="true"/>
          <w:cantSplit/>
        </w:trPr>
        <w:tc>
          <w:tcPr>
            <w:tcW w:type="dxa" w:w="3312"/>
            <w:shd w:fill="F28C28"/>
          </w:tcPr>
          <w:p>
            <w:r>
              <w:rPr>
                <w:rFonts w:ascii="Aptos" w:hAnsi="Aptos"/>
                <w:b/>
                <w:color w:val="FFFFFF"/>
                <w:sz w:val="18"/>
              </w:rPr>
              <w:t>Indicador</w:t>
            </w:r>
          </w:p>
        </w:tc>
        <w:tc>
          <w:tcPr>
            <w:tcW w:type="dxa" w:w="6912"/>
            <w:shd w:fill="F28C28"/>
          </w:tcPr>
          <w:p>
            <w:r>
              <w:rPr>
                <w:rFonts w:ascii="Aptos" w:hAnsi="Aptos"/>
                <w:b/>
                <w:color w:val="FFFFFF"/>
                <w:sz w:val="18"/>
              </w:rPr>
              <w:t>Valor contractual</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Meta de disponibilidad mensual</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La indicada en la propuesta u orden de servicio. Si está en blanco, no existe garantía porcentual contractual.</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RPO objetivo</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El indicado en el plan de respaldo. Si no se indica, no existe RPO contractual.</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RTO objetivo</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El indicado en el plan de continuidad/restauración. Si no se indica, no existe RTO contractual.</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Horario de soporte</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El indicado en la propuesta; en ausencia de indicación, soporte estándar.</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Créditos de servicio</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Sólo si la propuesta los incluye expresamente.</w:t>
            </w:r>
          </w:p>
        </w:tc>
      </w:tr>
    </w:tbl>
    <w:p/>
    <w:p>
      <w:pPr>
        <w:pStyle w:val="Heading1"/>
      </w:pPr>
      <w:r>
        <w:t>6. Exclusiones de indisponibilidad</w:t>
      </w:r>
    </w:p>
    <w:p>
      <w:r>
        <w:t>No se contabilizarán como indisponibilidad imputable, entre otros, los siguientes eventos:</w:t>
      </w:r>
    </w:p>
    <w:p>
      <w:pPr>
        <w:pStyle w:val="ListBullet"/>
        <w:spacing w:after="40"/>
      </w:pPr>
      <w:r>
        <w:t>Mantenimiento planificado y mantenimiento de emergencia.</w:t>
      </w:r>
    </w:p>
    <w:p>
      <w:pPr>
        <w:pStyle w:val="ListBullet"/>
        <w:spacing w:after="40"/>
      </w:pPr>
      <w:r>
        <w:t>Fallas o degradación de Internet, DNS, energía, redes, datacenter, nube o telecomunicaciones de terceros fuera del control razonable de SYSTCOM.</w:t>
      </w:r>
    </w:p>
    <w:p>
      <w:pPr>
        <w:pStyle w:val="ListBullet"/>
        <w:spacing w:after="40"/>
      </w:pPr>
      <w:r>
        <w:t>Indisponibilidad de Odoo SA, servicios tributarios, bancos, medios de pago, correo, marketplaces, APIs, operadores logísticos o cualquier tercero.</w:t>
      </w:r>
    </w:p>
    <w:p>
      <w:pPr>
        <w:pStyle w:val="ListBullet"/>
        <w:spacing w:after="40"/>
      </w:pPr>
      <w:r>
        <w:t>Errores de software estándar, módulos de terceros o componentes open source no desarrollados por SYSTCOM, salvo que el servicio contratado incluya una obligación específica de remediación bajo control de SYSTCOM.</w:t>
      </w:r>
    </w:p>
    <w:p>
      <w:pPr>
        <w:pStyle w:val="ListBullet"/>
        <w:spacing w:after="40"/>
      </w:pPr>
      <w:r>
        <w:t>Actos u omisiones del Cliente, sus usuarios, proveedores o asesores; cambios no autorizados; consultas directas; scripts; configuraciones; credenciales comprometidas o uso contrario a recomendaciones.</w:t>
      </w:r>
    </w:p>
    <w:p>
      <w:pPr>
        <w:pStyle w:val="ListBullet"/>
        <w:spacing w:after="40"/>
      </w:pPr>
      <w:r>
        <w:t>Sobrecarga provocada por cargas masivas, integraciones, consultas, procesos, reportes, almacenamiento o volúmenes de datos que excedan los supuestos de capacidad contratados o que no hayan sido coordinados.</w:t>
      </w:r>
    </w:p>
    <w:p>
      <w:pPr>
        <w:pStyle w:val="ListBullet"/>
        <w:spacing w:after="40"/>
      </w:pPr>
      <w:r>
        <w:t>Ataques DDoS, malware, ransomware, explotación de vulnerabilidades de terceros u otros incidentes de seguridad, salvo en la medida en que exista responsabilidad legal no limitable de SYSTCOM.</w:t>
      </w:r>
    </w:p>
    <w:p>
      <w:pPr>
        <w:pStyle w:val="ListBullet"/>
        <w:spacing w:after="40"/>
      </w:pPr>
      <w:r>
        <w:t>Suspensiones por mora, incumplimiento contractual, uso abusivo o riesgo de seguridad.</w:t>
      </w:r>
    </w:p>
    <w:p>
      <w:pPr>
        <w:pStyle w:val="ListBullet"/>
        <w:spacing w:after="40"/>
      </w:pPr>
      <w:r>
        <w:t>Fuerza mayor y hechos fuera del control razonable de SYSTCOM.</w:t>
      </w:r>
    </w:p>
    <w:p>
      <w:pPr>
        <w:pStyle w:val="ListBullet"/>
        <w:spacing w:after="40"/>
      </w:pPr>
      <w:r>
        <w:t>Ventanas de migración, pruebas, restauración o contingencia solicitadas o aprobadas por el Cliente.</w:t>
      </w:r>
    </w:p>
    <w:p>
      <w:pPr>
        <w:pStyle w:val="Heading1"/>
      </w:pPr>
      <w:r>
        <w:t>7. Mantenimiento</w:t>
      </w:r>
    </w:p>
    <w:p>
      <w:pPr>
        <w:pStyle w:val="Heading2"/>
      </w:pPr>
      <w:r>
        <w:t>7.1 Mantenimiento planificado</w:t>
      </w:r>
    </w:p>
    <w:p>
      <w:r>
        <w:t>SYSTCOM procurará informar mantenimientos planificados con al menos 48 horas de anticipación cuando sea razonablemente posible y programarlos fuera de la jornada laboral del Cliente. El aviso podrá realizarse por correo, ticket, portal o canal operacional acordado.</w:t>
      </w:r>
    </w:p>
    <w:p>
      <w:pPr>
        <w:pStyle w:val="Heading2"/>
      </w:pPr>
      <w:r>
        <w:t>7.2 Mantenimiento de emergencia</w:t>
      </w:r>
    </w:p>
    <w:p>
      <w:r>
        <w:t>SYSTCOM podrá ejecutar inmediatamente acciones necesarias para corregir vulnerabilidades críticas, evitar corrupción de datos, contener incidentes, preservar integridad de infraestructura o responder a un requerimiento urgente de un proveedor. En estos casos el aviso podrá ser simultáneo o posterior al inicio de la intervención.</w:t>
      </w:r>
    </w:p>
    <w:p>
      <w:pPr>
        <w:pStyle w:val="Heading1"/>
      </w:pPr>
      <w:r>
        <w:t>8. Clasificación de incidentes</w:t>
      </w:r>
    </w:p>
    <w:tbl>
      <w:tblPr>
        <w:tblStyle w:val="TableGrid"/>
        <w:tblW w:type="auto" w:w="0"/>
        <w:jc w:val="center"/>
        <w:tblLook w:firstColumn="1" w:firstRow="1" w:lastColumn="0" w:lastRow="0" w:noHBand="0" w:noVBand="1" w:val="04A0"/>
      </w:tblPr>
      <w:tblGrid>
        <w:gridCol w:w="3312"/>
        <w:gridCol w:w="3312"/>
        <w:gridCol w:w="3312"/>
      </w:tblGrid>
      <w:tr>
        <w:trPr>
          <w:tblHeader w:val="true"/>
          <w:cantSplit/>
        </w:trPr>
        <w:tc>
          <w:tcPr>
            <w:tcW w:type="dxa" w:w="1728"/>
            <w:shd w:fill="F28C28"/>
          </w:tcPr>
          <w:p>
            <w:r>
              <w:rPr>
                <w:rFonts w:ascii="Aptos" w:hAnsi="Aptos"/>
                <w:b/>
                <w:color w:val="FFFFFF"/>
                <w:sz w:val="18"/>
              </w:rPr>
              <w:t>Prioridad</w:t>
            </w:r>
          </w:p>
        </w:tc>
        <w:tc>
          <w:tcPr>
            <w:tcW w:type="dxa" w:w="4464"/>
            <w:shd w:fill="F28C28"/>
          </w:tcPr>
          <w:p>
            <w:r>
              <w:rPr>
                <w:rFonts w:ascii="Aptos" w:hAnsi="Aptos"/>
                <w:b/>
                <w:color w:val="FFFFFF"/>
                <w:sz w:val="18"/>
              </w:rPr>
              <w:t>Definición orientativa</w:t>
            </w:r>
          </w:p>
        </w:tc>
        <w:tc>
          <w:tcPr>
            <w:tcW w:type="dxa" w:w="4032"/>
            <w:shd w:fill="F28C28"/>
          </w:tcPr>
          <w:p>
            <w:r>
              <w:rPr>
                <w:rFonts w:ascii="Aptos" w:hAnsi="Aptos"/>
                <w:b/>
                <w:color w:val="FFFFFF"/>
                <w:sz w:val="18"/>
              </w:rPr>
              <w:t>Ejemplos</w:t>
            </w:r>
          </w:p>
        </w:tc>
      </w:tr>
      <w:tr>
        <w:trPr>
          <w:cantSplit/>
        </w:trPr>
        <w:tc>
          <w:tcPr>
            <w:tcW w:type="dxa" w:w="1728"/>
            <w:vAlign w:val="top"/>
            <w:tcBorders>
              <w:top w:val="single" w:sz="4" w:color="D9D9D9"/>
              <w:left w:val="single" w:sz="4" w:color="D9D9D9"/>
              <w:bottom w:val="single" w:sz="4" w:color="D9D9D9"/>
              <w:right w:val="single" w:sz="4" w:color="D9D9D9"/>
            </w:tcBorders>
          </w:tcPr>
          <w:p>
            <w:r>
              <w:rPr>
                <w:rFonts w:ascii="Aptos" w:hAnsi="Aptos"/>
                <w:sz w:val="17"/>
              </w:rPr>
              <w:t>P1 - Crítica</w:t>
            </w:r>
          </w:p>
        </w:tc>
        <w:tc>
          <w:tcPr>
            <w:tcW w:type="dxa" w:w="4464"/>
            <w:vAlign w:val="top"/>
            <w:tcBorders>
              <w:top w:val="single" w:sz="4" w:color="D9D9D9"/>
              <w:left w:val="single" w:sz="4" w:color="D9D9D9"/>
              <w:bottom w:val="single" w:sz="4" w:color="D9D9D9"/>
              <w:right w:val="single" w:sz="4" w:color="D9D9D9"/>
            </w:tcBorders>
          </w:tcPr>
          <w:p>
            <w:r>
              <w:rPr>
                <w:rFonts w:ascii="Aptos" w:hAnsi="Aptos"/>
                <w:sz w:val="17"/>
              </w:rPr>
              <w:t>Servicio productivo cubierto totalmente inaccesible o proceso crítico general detenido, sin alternativa razonable.</w:t>
            </w:r>
          </w:p>
        </w:tc>
        <w:tc>
          <w:tcPr>
            <w:tcW w:type="dxa" w:w="4032"/>
            <w:vAlign w:val="top"/>
            <w:tcBorders>
              <w:top w:val="single" w:sz="4" w:color="D9D9D9"/>
              <w:left w:val="single" w:sz="4" w:color="D9D9D9"/>
              <w:bottom w:val="single" w:sz="4" w:color="D9D9D9"/>
              <w:right w:val="single" w:sz="4" w:color="D9D9D9"/>
            </w:tcBorders>
          </w:tcPr>
          <w:p>
            <w:r>
              <w:rPr>
                <w:rFonts w:ascii="Aptos" w:hAnsi="Aptos"/>
                <w:sz w:val="17"/>
              </w:rPr>
              <w:t>Base productiva inaccesible para todos los usuarios por causa del componente cubierto.</w:t>
            </w:r>
          </w:p>
        </w:tc>
      </w:tr>
      <w:tr>
        <w:trPr>
          <w:cantSplit/>
        </w:trPr>
        <w:tc>
          <w:tcPr>
            <w:tcW w:type="dxa" w:w="1728"/>
            <w:vAlign w:val="top"/>
            <w:tcBorders>
              <w:top w:val="single" w:sz="4" w:color="D9D9D9"/>
              <w:left w:val="single" w:sz="4" w:color="D9D9D9"/>
              <w:bottom w:val="single" w:sz="4" w:color="D9D9D9"/>
              <w:right w:val="single" w:sz="4" w:color="D9D9D9"/>
            </w:tcBorders>
          </w:tcPr>
          <w:p>
            <w:r>
              <w:rPr>
                <w:rFonts w:ascii="Aptos" w:hAnsi="Aptos"/>
                <w:sz w:val="17"/>
              </w:rPr>
              <w:t>P2 - Alta</w:t>
            </w:r>
          </w:p>
        </w:tc>
        <w:tc>
          <w:tcPr>
            <w:tcW w:type="dxa" w:w="4464"/>
            <w:vAlign w:val="top"/>
            <w:tcBorders>
              <w:top w:val="single" w:sz="4" w:color="D9D9D9"/>
              <w:left w:val="single" w:sz="4" w:color="D9D9D9"/>
              <w:bottom w:val="single" w:sz="4" w:color="D9D9D9"/>
              <w:right w:val="single" w:sz="4" w:color="D9D9D9"/>
            </w:tcBorders>
          </w:tcPr>
          <w:p>
            <w:r>
              <w:rPr>
                <w:rFonts w:ascii="Aptos" w:hAnsi="Aptos"/>
                <w:sz w:val="17"/>
              </w:rPr>
              <w:t>Degradación importante de una función principal, con impacto a múltiples usuarios, existiendo operación parcial.</w:t>
            </w:r>
          </w:p>
        </w:tc>
        <w:tc>
          <w:tcPr>
            <w:tcW w:type="dxa" w:w="4032"/>
            <w:vAlign w:val="top"/>
            <w:tcBorders>
              <w:top w:val="single" w:sz="4" w:color="D9D9D9"/>
              <w:left w:val="single" w:sz="4" w:color="D9D9D9"/>
              <w:bottom w:val="single" w:sz="4" w:color="D9D9D9"/>
              <w:right w:val="single" w:sz="4" w:color="D9D9D9"/>
            </w:tcBorders>
          </w:tcPr>
          <w:p>
            <w:r>
              <w:rPr>
                <w:rFonts w:ascii="Aptos" w:hAnsi="Aptos"/>
                <w:sz w:val="17"/>
              </w:rPr>
              <w:t>Proceso de venta o integración principal con afectación amplia.</w:t>
            </w:r>
          </w:p>
        </w:tc>
      </w:tr>
      <w:tr>
        <w:trPr>
          <w:cantSplit/>
        </w:trPr>
        <w:tc>
          <w:tcPr>
            <w:tcW w:type="dxa" w:w="1728"/>
            <w:vAlign w:val="top"/>
            <w:tcBorders>
              <w:top w:val="single" w:sz="4" w:color="D9D9D9"/>
              <w:left w:val="single" w:sz="4" w:color="D9D9D9"/>
              <w:bottom w:val="single" w:sz="4" w:color="D9D9D9"/>
              <w:right w:val="single" w:sz="4" w:color="D9D9D9"/>
            </w:tcBorders>
          </w:tcPr>
          <w:p>
            <w:r>
              <w:rPr>
                <w:rFonts w:ascii="Aptos" w:hAnsi="Aptos"/>
                <w:sz w:val="17"/>
              </w:rPr>
              <w:t>P3 - Media</w:t>
            </w:r>
          </w:p>
        </w:tc>
        <w:tc>
          <w:tcPr>
            <w:tcW w:type="dxa" w:w="4464"/>
            <w:vAlign w:val="top"/>
            <w:tcBorders>
              <w:top w:val="single" w:sz="4" w:color="D9D9D9"/>
              <w:left w:val="single" w:sz="4" w:color="D9D9D9"/>
              <w:bottom w:val="single" w:sz="4" w:color="D9D9D9"/>
              <w:right w:val="single" w:sz="4" w:color="D9D9D9"/>
            </w:tcBorders>
          </w:tcPr>
          <w:p>
            <w:r>
              <w:rPr>
                <w:rFonts w:ascii="Aptos" w:hAnsi="Aptos"/>
                <w:sz w:val="17"/>
              </w:rPr>
              <w:t>Incidente acotado o función secundaria afectada con alternativa operativa.</w:t>
            </w:r>
          </w:p>
        </w:tc>
        <w:tc>
          <w:tcPr>
            <w:tcW w:type="dxa" w:w="4032"/>
            <w:vAlign w:val="top"/>
            <w:tcBorders>
              <w:top w:val="single" w:sz="4" w:color="D9D9D9"/>
              <w:left w:val="single" w:sz="4" w:color="D9D9D9"/>
              <w:bottom w:val="single" w:sz="4" w:color="D9D9D9"/>
              <w:right w:val="single" w:sz="4" w:color="D9D9D9"/>
            </w:tcBorders>
          </w:tcPr>
          <w:p>
            <w:r>
              <w:rPr>
                <w:rFonts w:ascii="Aptos" w:hAnsi="Aptos"/>
                <w:sz w:val="17"/>
              </w:rPr>
              <w:t>Error de reporte, usuario o flujo no crítico.</w:t>
            </w:r>
          </w:p>
        </w:tc>
      </w:tr>
      <w:tr>
        <w:trPr>
          <w:cantSplit/>
        </w:trPr>
        <w:tc>
          <w:tcPr>
            <w:tcW w:type="dxa" w:w="1728"/>
            <w:vAlign w:val="top"/>
            <w:tcBorders>
              <w:top w:val="single" w:sz="4" w:color="D9D9D9"/>
              <w:left w:val="single" w:sz="4" w:color="D9D9D9"/>
              <w:bottom w:val="single" w:sz="4" w:color="D9D9D9"/>
              <w:right w:val="single" w:sz="4" w:color="D9D9D9"/>
            </w:tcBorders>
          </w:tcPr>
          <w:p>
            <w:r>
              <w:rPr>
                <w:rFonts w:ascii="Aptos" w:hAnsi="Aptos"/>
                <w:sz w:val="17"/>
              </w:rPr>
              <w:t>P4 - Baja / Solicitud</w:t>
            </w:r>
          </w:p>
        </w:tc>
        <w:tc>
          <w:tcPr>
            <w:tcW w:type="dxa" w:w="4464"/>
            <w:vAlign w:val="top"/>
            <w:tcBorders>
              <w:top w:val="single" w:sz="4" w:color="D9D9D9"/>
              <w:left w:val="single" w:sz="4" w:color="D9D9D9"/>
              <w:bottom w:val="single" w:sz="4" w:color="D9D9D9"/>
              <w:right w:val="single" w:sz="4" w:color="D9D9D9"/>
            </w:tcBorders>
          </w:tcPr>
          <w:p>
            <w:r>
              <w:rPr>
                <w:rFonts w:ascii="Aptos" w:hAnsi="Aptos"/>
                <w:sz w:val="17"/>
              </w:rPr>
              <w:t>Consulta, requerimiento menor, mejora, orientación o cambio sin interrupción relevante.</w:t>
            </w:r>
          </w:p>
        </w:tc>
        <w:tc>
          <w:tcPr>
            <w:tcW w:type="dxa" w:w="4032"/>
            <w:vAlign w:val="top"/>
            <w:tcBorders>
              <w:top w:val="single" w:sz="4" w:color="D9D9D9"/>
              <w:left w:val="single" w:sz="4" w:color="D9D9D9"/>
              <w:bottom w:val="single" w:sz="4" w:color="D9D9D9"/>
              <w:right w:val="single" w:sz="4" w:color="D9D9D9"/>
            </w:tcBorders>
          </w:tcPr>
          <w:p>
            <w:r>
              <w:rPr>
                <w:rFonts w:ascii="Aptos" w:hAnsi="Aptos"/>
                <w:sz w:val="17"/>
              </w:rPr>
              <w:t>Pregunta funcional, configuración, nuevo campo o solicitud de cambio.</w:t>
            </w:r>
          </w:p>
        </w:tc>
      </w:tr>
    </w:tbl>
    <w:p/>
    <w:p>
      <w:pPr>
        <w:pStyle w:val="Heading1"/>
      </w:pPr>
      <w:r>
        <w:t>9. Objetivos de primera respuesta</w:t>
      </w:r>
    </w:p>
    <w:p>
      <w:r>
        <w:t>Salvo que la propuesta contenga una tabla distinta, cuando el servicio haga referencia al “SLA de Soporte Estándar SYSTCOM”, se aplicarán los siguientes objetivos dentro del horario de soporte. Son tiempos de primera respuesta o toma de conocimiento, no tiempos garantizados de resolución:</w:t>
      </w:r>
    </w:p>
    <w:tbl>
      <w:tblPr>
        <w:tblStyle w:val="TableGrid"/>
        <w:tblW w:type="auto" w:w="0"/>
        <w:jc w:val="center"/>
        <w:tblLook w:firstColumn="1" w:firstRow="1" w:lastColumn="0" w:lastRow="0" w:noHBand="0" w:noVBand="1" w:val="04A0"/>
      </w:tblPr>
      <w:tblGrid>
        <w:gridCol w:w="3312"/>
        <w:gridCol w:w="3312"/>
        <w:gridCol w:w="3312"/>
      </w:tblGrid>
      <w:tr>
        <w:trPr>
          <w:tblHeader w:val="true"/>
          <w:cantSplit/>
        </w:trPr>
        <w:tc>
          <w:tcPr>
            <w:tcW w:type="dxa" w:w="1872"/>
            <w:shd w:fill="F28C28"/>
          </w:tcPr>
          <w:p>
            <w:r>
              <w:rPr>
                <w:rFonts w:ascii="Aptos" w:hAnsi="Aptos"/>
                <w:b/>
                <w:color w:val="FFFFFF"/>
                <w:sz w:val="18"/>
              </w:rPr>
              <w:t>Prioridad</w:t>
            </w:r>
          </w:p>
        </w:tc>
        <w:tc>
          <w:tcPr>
            <w:tcW w:type="dxa" w:w="3312"/>
            <w:shd w:fill="F28C28"/>
          </w:tcPr>
          <w:p>
            <w:r>
              <w:rPr>
                <w:rFonts w:ascii="Aptos" w:hAnsi="Aptos"/>
                <w:b/>
                <w:color w:val="FFFFFF"/>
                <w:sz w:val="18"/>
              </w:rPr>
              <w:t>Objetivo primera respuesta</w:t>
            </w:r>
          </w:p>
        </w:tc>
        <w:tc>
          <w:tcPr>
            <w:tcW w:type="dxa" w:w="5040"/>
            <w:shd w:fill="F28C28"/>
          </w:tcPr>
          <w:p>
            <w:r>
              <w:rPr>
                <w:rFonts w:ascii="Aptos" w:hAnsi="Aptos"/>
                <w:b/>
                <w:color w:val="FFFFFF"/>
                <w:sz w:val="18"/>
              </w:rPr>
              <w:t>Medición</w:t>
            </w:r>
          </w:p>
        </w:tc>
      </w:tr>
      <w:tr>
        <w:trPr>
          <w:cantSplit/>
        </w:trPr>
        <w:tc>
          <w:tcPr>
            <w:tcW w:type="dxa" w:w="1872"/>
            <w:vAlign w:val="top"/>
            <w:tcBorders>
              <w:top w:val="single" w:sz="4" w:color="D9D9D9"/>
              <w:left w:val="single" w:sz="4" w:color="D9D9D9"/>
              <w:bottom w:val="single" w:sz="4" w:color="D9D9D9"/>
              <w:right w:val="single" w:sz="4" w:color="D9D9D9"/>
            </w:tcBorders>
          </w:tcPr>
          <w:p>
            <w:r>
              <w:rPr>
                <w:rFonts w:ascii="Aptos" w:hAnsi="Aptos"/>
                <w:sz w:val="17"/>
              </w:rPr>
              <w:t>P1</w:t>
            </w:r>
          </w:p>
        </w:tc>
        <w:tc>
          <w:tcPr>
            <w:tcW w:type="dxa" w:w="3312"/>
            <w:vAlign w:val="top"/>
            <w:tcBorders>
              <w:top w:val="single" w:sz="4" w:color="D9D9D9"/>
              <w:left w:val="single" w:sz="4" w:color="D9D9D9"/>
              <w:bottom w:val="single" w:sz="4" w:color="D9D9D9"/>
              <w:right w:val="single" w:sz="4" w:color="D9D9D9"/>
            </w:tcBorders>
          </w:tcPr>
          <w:p>
            <w:r>
              <w:rPr>
                <w:rFonts w:ascii="Aptos" w:hAnsi="Aptos"/>
                <w:sz w:val="17"/>
              </w:rPr>
              <w:t>1 hora hábil</w:t>
            </w:r>
          </w:p>
        </w:tc>
        <w:tc>
          <w:tcPr>
            <w:tcW w:type="dxa" w:w="5040"/>
            <w:vAlign w:val="top"/>
            <w:tcBorders>
              <w:top w:val="single" w:sz="4" w:color="D9D9D9"/>
              <w:left w:val="single" w:sz="4" w:color="D9D9D9"/>
              <w:bottom w:val="single" w:sz="4" w:color="D9D9D9"/>
              <w:right w:val="single" w:sz="4" w:color="D9D9D9"/>
            </w:tcBorders>
          </w:tcPr>
          <w:p>
            <w:r>
              <w:rPr>
                <w:rFonts w:ascii="Aptos" w:hAnsi="Aptos"/>
                <w:sz w:val="17"/>
              </w:rPr>
              <w:t>Desde ticket válido recibido dentro del horario cubierto.</w:t>
            </w:r>
          </w:p>
        </w:tc>
      </w:tr>
      <w:tr>
        <w:trPr>
          <w:cantSplit/>
        </w:trPr>
        <w:tc>
          <w:tcPr>
            <w:tcW w:type="dxa" w:w="1872"/>
            <w:vAlign w:val="top"/>
            <w:tcBorders>
              <w:top w:val="single" w:sz="4" w:color="D9D9D9"/>
              <w:left w:val="single" w:sz="4" w:color="D9D9D9"/>
              <w:bottom w:val="single" w:sz="4" w:color="D9D9D9"/>
              <w:right w:val="single" w:sz="4" w:color="D9D9D9"/>
            </w:tcBorders>
          </w:tcPr>
          <w:p>
            <w:r>
              <w:rPr>
                <w:rFonts w:ascii="Aptos" w:hAnsi="Aptos"/>
                <w:sz w:val="17"/>
              </w:rPr>
              <w:t>P2</w:t>
            </w:r>
          </w:p>
        </w:tc>
        <w:tc>
          <w:tcPr>
            <w:tcW w:type="dxa" w:w="3312"/>
            <w:vAlign w:val="top"/>
            <w:tcBorders>
              <w:top w:val="single" w:sz="4" w:color="D9D9D9"/>
              <w:left w:val="single" w:sz="4" w:color="D9D9D9"/>
              <w:bottom w:val="single" w:sz="4" w:color="D9D9D9"/>
              <w:right w:val="single" w:sz="4" w:color="D9D9D9"/>
            </w:tcBorders>
          </w:tcPr>
          <w:p>
            <w:r>
              <w:rPr>
                <w:rFonts w:ascii="Aptos" w:hAnsi="Aptos"/>
                <w:sz w:val="17"/>
              </w:rPr>
              <w:t>4 horas hábiles</w:t>
            </w:r>
          </w:p>
        </w:tc>
        <w:tc>
          <w:tcPr>
            <w:tcW w:type="dxa" w:w="5040"/>
            <w:vAlign w:val="top"/>
            <w:tcBorders>
              <w:top w:val="single" w:sz="4" w:color="D9D9D9"/>
              <w:left w:val="single" w:sz="4" w:color="D9D9D9"/>
              <w:bottom w:val="single" w:sz="4" w:color="D9D9D9"/>
              <w:right w:val="single" w:sz="4" w:color="D9D9D9"/>
            </w:tcBorders>
          </w:tcPr>
          <w:p>
            <w:r>
              <w:rPr>
                <w:rFonts w:ascii="Aptos" w:hAnsi="Aptos"/>
                <w:sz w:val="17"/>
              </w:rPr>
              <w:t>Desde ticket válido recibido dentro del horario cubierto.</w:t>
            </w:r>
          </w:p>
        </w:tc>
      </w:tr>
      <w:tr>
        <w:trPr>
          <w:cantSplit/>
        </w:trPr>
        <w:tc>
          <w:tcPr>
            <w:tcW w:type="dxa" w:w="1872"/>
            <w:vAlign w:val="top"/>
            <w:tcBorders>
              <w:top w:val="single" w:sz="4" w:color="D9D9D9"/>
              <w:left w:val="single" w:sz="4" w:color="D9D9D9"/>
              <w:bottom w:val="single" w:sz="4" w:color="D9D9D9"/>
              <w:right w:val="single" w:sz="4" w:color="D9D9D9"/>
            </w:tcBorders>
          </w:tcPr>
          <w:p>
            <w:r>
              <w:rPr>
                <w:rFonts w:ascii="Aptos" w:hAnsi="Aptos"/>
                <w:sz w:val="17"/>
              </w:rPr>
              <w:t>P3</w:t>
            </w:r>
          </w:p>
        </w:tc>
        <w:tc>
          <w:tcPr>
            <w:tcW w:type="dxa" w:w="3312"/>
            <w:vAlign w:val="top"/>
            <w:tcBorders>
              <w:top w:val="single" w:sz="4" w:color="D9D9D9"/>
              <w:left w:val="single" w:sz="4" w:color="D9D9D9"/>
              <w:bottom w:val="single" w:sz="4" w:color="D9D9D9"/>
              <w:right w:val="single" w:sz="4" w:color="D9D9D9"/>
            </w:tcBorders>
          </w:tcPr>
          <w:p>
            <w:r>
              <w:rPr>
                <w:rFonts w:ascii="Aptos" w:hAnsi="Aptos"/>
                <w:sz w:val="17"/>
              </w:rPr>
              <w:t>1 día hábil</w:t>
            </w:r>
          </w:p>
        </w:tc>
        <w:tc>
          <w:tcPr>
            <w:tcW w:type="dxa" w:w="5040"/>
            <w:vAlign w:val="top"/>
            <w:tcBorders>
              <w:top w:val="single" w:sz="4" w:color="D9D9D9"/>
              <w:left w:val="single" w:sz="4" w:color="D9D9D9"/>
              <w:bottom w:val="single" w:sz="4" w:color="D9D9D9"/>
              <w:right w:val="single" w:sz="4" w:color="D9D9D9"/>
            </w:tcBorders>
          </w:tcPr>
          <w:p>
            <w:r>
              <w:rPr>
                <w:rFonts w:ascii="Aptos" w:hAnsi="Aptos"/>
                <w:sz w:val="17"/>
              </w:rPr>
              <w:t>Desde ticket válido recibido.</w:t>
            </w:r>
          </w:p>
        </w:tc>
      </w:tr>
      <w:tr>
        <w:trPr>
          <w:cantSplit/>
        </w:trPr>
        <w:tc>
          <w:tcPr>
            <w:tcW w:type="dxa" w:w="1872"/>
            <w:vAlign w:val="top"/>
            <w:tcBorders>
              <w:top w:val="single" w:sz="4" w:color="D9D9D9"/>
              <w:left w:val="single" w:sz="4" w:color="D9D9D9"/>
              <w:bottom w:val="single" w:sz="4" w:color="D9D9D9"/>
              <w:right w:val="single" w:sz="4" w:color="D9D9D9"/>
            </w:tcBorders>
          </w:tcPr>
          <w:p>
            <w:r>
              <w:rPr>
                <w:rFonts w:ascii="Aptos" w:hAnsi="Aptos"/>
                <w:sz w:val="17"/>
              </w:rPr>
              <w:t>P4</w:t>
            </w:r>
          </w:p>
        </w:tc>
        <w:tc>
          <w:tcPr>
            <w:tcW w:type="dxa" w:w="3312"/>
            <w:vAlign w:val="top"/>
            <w:tcBorders>
              <w:top w:val="single" w:sz="4" w:color="D9D9D9"/>
              <w:left w:val="single" w:sz="4" w:color="D9D9D9"/>
              <w:bottom w:val="single" w:sz="4" w:color="D9D9D9"/>
              <w:right w:val="single" w:sz="4" w:color="D9D9D9"/>
            </w:tcBorders>
          </w:tcPr>
          <w:p>
            <w:r>
              <w:rPr>
                <w:rFonts w:ascii="Aptos" w:hAnsi="Aptos"/>
                <w:sz w:val="17"/>
              </w:rPr>
              <w:t>2 días hábiles</w:t>
            </w:r>
          </w:p>
        </w:tc>
        <w:tc>
          <w:tcPr>
            <w:tcW w:type="dxa" w:w="5040"/>
            <w:vAlign w:val="top"/>
            <w:tcBorders>
              <w:top w:val="single" w:sz="4" w:color="D9D9D9"/>
              <w:left w:val="single" w:sz="4" w:color="D9D9D9"/>
              <w:bottom w:val="single" w:sz="4" w:color="D9D9D9"/>
              <w:right w:val="single" w:sz="4" w:color="D9D9D9"/>
            </w:tcBorders>
          </w:tcPr>
          <w:p>
            <w:r>
              <w:rPr>
                <w:rFonts w:ascii="Aptos" w:hAnsi="Aptos"/>
                <w:sz w:val="17"/>
              </w:rPr>
              <w:t>Desde ticket válido recibido.</w:t>
            </w:r>
          </w:p>
        </w:tc>
      </w:tr>
    </w:tbl>
    <w:p/>
    <w:p>
      <w:r>
        <w:t>La prioridad podrá ser reclasificada por SYSTCOM conforme al impacto real. El reloj podrá pausarse mientras SYSTCOM espere información, accesos, validación, pruebas o decisiones del Cliente o de un tercero.</w:t>
      </w:r>
    </w:p>
    <w:p>
      <w:pPr>
        <w:pStyle w:val="Heading1"/>
      </w:pPr>
      <w:r>
        <w:t>10. Tiempos de resolución</w:t>
      </w:r>
    </w:p>
    <w:p>
      <w:r>
        <w:t>La resolución depende de diagnóstico, complejidad, disponibilidad de personal especializado, terceros, fabricantes, datos, pruebas y ventanas de cambio. Salvo compromiso expreso en la propuesta, SYSTCOM no garantiza un tiempo fijo de resolución. Para incidentes críticos SYSTCOM procurará mantener comunicación periódica razonable mientras exista actividad de diagnóstico o mitigación.</w:t>
      </w:r>
    </w:p>
    <w:p>
      <w:pPr>
        <w:pStyle w:val="Heading1"/>
      </w:pPr>
      <w:r>
        <w:t>11. Medición y evidencia</w:t>
      </w:r>
    </w:p>
    <w:p>
      <w:r>
        <w:t>SYSTCOM utilizará registros de monitoreo, logs de infraestructura, tickets y otras evidencias técnicas razonables para determinar inicio, término, alcance y causa de un evento. La indisponibilidad de una función particular, usuario, terminal, integración o ubicación no implicará necesariamente indisponibilidad total del servicio cubierto.</w:t>
      </w:r>
    </w:p>
    <w:p>
      <w:pPr>
        <w:pStyle w:val="Heading1"/>
      </w:pPr>
      <w:r>
        <w:t>12. Créditos de servicio</w:t>
      </w:r>
    </w:p>
    <w:p>
      <w:r>
        <w:t>Los créditos sólo serán aplicables cuando la propuesta comercial indique expresamente “SLA con créditos de servicio”. En tal caso y salvo tabla particular, se aplicará la siguiente escala sobre el cargo mensual neto del componente directamente afectado:</w:t>
      </w:r>
    </w:p>
    <w:tbl>
      <w:tblPr>
        <w:tblStyle w:val="TableGrid"/>
        <w:tblW w:type="auto" w:w="0"/>
        <w:jc w:val="center"/>
        <w:tblLook w:firstColumn="1" w:firstRow="1" w:lastColumn="0" w:lastRow="0" w:noHBand="0" w:noVBand="1" w:val="04A0"/>
      </w:tblPr>
      <w:tblGrid>
        <w:gridCol w:w="4968"/>
        <w:gridCol w:w="4968"/>
      </w:tblGrid>
      <w:tr>
        <w:trPr>
          <w:tblHeader w:val="true"/>
          <w:cantSplit/>
        </w:trPr>
        <w:tc>
          <w:tcPr>
            <w:tcW w:type="dxa" w:w="6480"/>
            <w:shd w:fill="F28C28"/>
          </w:tcPr>
          <w:p>
            <w:r>
              <w:rPr>
                <w:rFonts w:ascii="Aptos" w:hAnsi="Aptos"/>
                <w:b/>
                <w:color w:val="FFFFFF"/>
                <w:sz w:val="18"/>
              </w:rPr>
              <w:t>Resultado mensual</w:t>
            </w:r>
          </w:p>
        </w:tc>
        <w:tc>
          <w:tcPr>
            <w:tcW w:type="dxa" w:w="3744"/>
            <w:shd w:fill="F28C28"/>
          </w:tcPr>
          <w:p>
            <w:r>
              <w:rPr>
                <w:rFonts w:ascii="Aptos" w:hAnsi="Aptos"/>
                <w:b/>
                <w:color w:val="FFFFFF"/>
                <w:sz w:val="18"/>
              </w:rPr>
              <w:t>Crédito máximo</w:t>
            </w:r>
          </w:p>
        </w:tc>
      </w:tr>
      <w:tr>
        <w:trPr>
          <w:cantSplit/>
        </w:trPr>
        <w:tc>
          <w:tcPr>
            <w:tcW w:type="dxa" w:w="6480"/>
            <w:vAlign w:val="top"/>
            <w:tcBorders>
              <w:top w:val="single" w:sz="4" w:color="D9D9D9"/>
              <w:left w:val="single" w:sz="4" w:color="D9D9D9"/>
              <w:bottom w:val="single" w:sz="4" w:color="D9D9D9"/>
              <w:right w:val="single" w:sz="4" w:color="D9D9D9"/>
            </w:tcBorders>
          </w:tcPr>
          <w:p>
            <w:r>
              <w:rPr>
                <w:rFonts w:ascii="Aptos" w:hAnsi="Aptos"/>
                <w:sz w:val="17"/>
              </w:rPr>
              <w:t>Cumple o supera la meta contratada</w:t>
            </w:r>
          </w:p>
        </w:tc>
        <w:tc>
          <w:tcPr>
            <w:tcW w:type="dxa" w:w="3744"/>
            <w:vAlign w:val="top"/>
            <w:tcBorders>
              <w:top w:val="single" w:sz="4" w:color="D9D9D9"/>
              <w:left w:val="single" w:sz="4" w:color="D9D9D9"/>
              <w:bottom w:val="single" w:sz="4" w:color="D9D9D9"/>
              <w:right w:val="single" w:sz="4" w:color="D9D9D9"/>
            </w:tcBorders>
          </w:tcPr>
          <w:p>
            <w:r>
              <w:rPr>
                <w:rFonts w:ascii="Aptos" w:hAnsi="Aptos"/>
                <w:sz w:val="17"/>
              </w:rPr>
              <w:t>0%</w:t>
            </w:r>
          </w:p>
        </w:tc>
      </w:tr>
      <w:tr>
        <w:trPr>
          <w:cantSplit/>
        </w:trPr>
        <w:tc>
          <w:tcPr>
            <w:tcW w:type="dxa" w:w="6480"/>
            <w:vAlign w:val="top"/>
            <w:tcBorders>
              <w:top w:val="single" w:sz="4" w:color="D9D9D9"/>
              <w:left w:val="single" w:sz="4" w:color="D9D9D9"/>
              <w:bottom w:val="single" w:sz="4" w:color="D9D9D9"/>
              <w:right w:val="single" w:sz="4" w:color="D9D9D9"/>
            </w:tcBorders>
          </w:tcPr>
          <w:p>
            <w:r>
              <w:rPr>
                <w:rFonts w:ascii="Aptos" w:hAnsi="Aptos"/>
                <w:sz w:val="17"/>
              </w:rPr>
              <w:t>Hasta 0,50 puntos porcentuales bajo la meta</w:t>
            </w:r>
          </w:p>
        </w:tc>
        <w:tc>
          <w:tcPr>
            <w:tcW w:type="dxa" w:w="3744"/>
            <w:vAlign w:val="top"/>
            <w:tcBorders>
              <w:top w:val="single" w:sz="4" w:color="D9D9D9"/>
              <w:left w:val="single" w:sz="4" w:color="D9D9D9"/>
              <w:bottom w:val="single" w:sz="4" w:color="D9D9D9"/>
              <w:right w:val="single" w:sz="4" w:color="D9D9D9"/>
            </w:tcBorders>
          </w:tcPr>
          <w:p>
            <w:r>
              <w:rPr>
                <w:rFonts w:ascii="Aptos" w:hAnsi="Aptos"/>
                <w:sz w:val="17"/>
              </w:rPr>
              <w:t>5%</w:t>
            </w:r>
          </w:p>
        </w:tc>
      </w:tr>
      <w:tr>
        <w:trPr>
          <w:cantSplit/>
        </w:trPr>
        <w:tc>
          <w:tcPr>
            <w:tcW w:type="dxa" w:w="6480"/>
            <w:vAlign w:val="top"/>
            <w:tcBorders>
              <w:top w:val="single" w:sz="4" w:color="D9D9D9"/>
              <w:left w:val="single" w:sz="4" w:color="D9D9D9"/>
              <w:bottom w:val="single" w:sz="4" w:color="D9D9D9"/>
              <w:right w:val="single" w:sz="4" w:color="D9D9D9"/>
            </w:tcBorders>
          </w:tcPr>
          <w:p>
            <w:r>
              <w:rPr>
                <w:rFonts w:ascii="Aptos" w:hAnsi="Aptos"/>
                <w:sz w:val="17"/>
              </w:rPr>
              <w:t>Más de 0,50 y hasta 1,00 punto bajo la meta</w:t>
            </w:r>
          </w:p>
        </w:tc>
        <w:tc>
          <w:tcPr>
            <w:tcW w:type="dxa" w:w="3744"/>
            <w:vAlign w:val="top"/>
            <w:tcBorders>
              <w:top w:val="single" w:sz="4" w:color="D9D9D9"/>
              <w:left w:val="single" w:sz="4" w:color="D9D9D9"/>
              <w:bottom w:val="single" w:sz="4" w:color="D9D9D9"/>
              <w:right w:val="single" w:sz="4" w:color="D9D9D9"/>
            </w:tcBorders>
          </w:tcPr>
          <w:p>
            <w:r>
              <w:rPr>
                <w:rFonts w:ascii="Aptos" w:hAnsi="Aptos"/>
                <w:sz w:val="17"/>
              </w:rPr>
              <w:t>10%</w:t>
            </w:r>
          </w:p>
        </w:tc>
      </w:tr>
      <w:tr>
        <w:trPr>
          <w:cantSplit/>
        </w:trPr>
        <w:tc>
          <w:tcPr>
            <w:tcW w:type="dxa" w:w="6480"/>
            <w:vAlign w:val="top"/>
            <w:tcBorders>
              <w:top w:val="single" w:sz="4" w:color="D9D9D9"/>
              <w:left w:val="single" w:sz="4" w:color="D9D9D9"/>
              <w:bottom w:val="single" w:sz="4" w:color="D9D9D9"/>
              <w:right w:val="single" w:sz="4" w:color="D9D9D9"/>
            </w:tcBorders>
          </w:tcPr>
          <w:p>
            <w:r>
              <w:rPr>
                <w:rFonts w:ascii="Aptos" w:hAnsi="Aptos"/>
                <w:sz w:val="17"/>
              </w:rPr>
              <w:t>Más de 1,00 punto bajo la meta</w:t>
            </w:r>
          </w:p>
        </w:tc>
        <w:tc>
          <w:tcPr>
            <w:tcW w:type="dxa" w:w="3744"/>
            <w:vAlign w:val="top"/>
            <w:tcBorders>
              <w:top w:val="single" w:sz="4" w:color="D9D9D9"/>
              <w:left w:val="single" w:sz="4" w:color="D9D9D9"/>
              <w:bottom w:val="single" w:sz="4" w:color="D9D9D9"/>
              <w:right w:val="single" w:sz="4" w:color="D9D9D9"/>
            </w:tcBorders>
          </w:tcPr>
          <w:p>
            <w:r>
              <w:rPr>
                <w:rFonts w:ascii="Aptos" w:hAnsi="Aptos"/>
                <w:sz w:val="17"/>
              </w:rPr>
              <w:t>20%</w:t>
            </w:r>
          </w:p>
        </w:tc>
      </w:tr>
    </w:tbl>
    <w:p/>
    <w:p>
      <w:r>
        <w:t>El crédito constituirá, en la máxima medida permitida por la ley, el remedio contractual exclusivo por incumplimiento del porcentaje de disponibilidad. No será canjeable por dinero, no podrá exceder el cargo mensual del componente afectado y deberá solicitarse por escrito dentro de los diez (10) días hábiles siguientes al cierre del mes correspondiente, acompañando antecedentes suficientes.</w:t>
      </w:r>
    </w:p>
    <w:p>
      <w:pPr>
        <w:pStyle w:val="Heading1"/>
      </w:pPr>
      <w:r>
        <w:t>13. Cooperación del Cliente</w:t>
      </w:r>
    </w:p>
    <w:p>
      <w:pPr>
        <w:pStyle w:val="ListBullet"/>
        <w:spacing w:after="40"/>
      </w:pPr>
      <w:r>
        <w:t>Reportar incidentes por el canal formal, indicando impacto, usuarios afectados, hora, mensajes y pasos reproducibles.</w:t>
      </w:r>
    </w:p>
    <w:p>
      <w:pPr>
        <w:pStyle w:val="ListBullet"/>
        <w:spacing w:after="40"/>
      </w:pPr>
      <w:r>
        <w:t>Proporcionar accesos y evidencias de manera segura y oportuna.</w:t>
      </w:r>
    </w:p>
    <w:p>
      <w:pPr>
        <w:pStyle w:val="ListBullet"/>
        <w:spacing w:after="40"/>
      </w:pPr>
      <w:r>
        <w:t>No ejecutar cambios simultáneos durante el diagnóstico sin coordinación.</w:t>
      </w:r>
    </w:p>
    <w:p>
      <w:pPr>
        <w:pStyle w:val="ListBullet"/>
        <w:spacing w:after="40"/>
      </w:pPr>
      <w:r>
        <w:t>Mantener contactos de escalamiento actualizados.</w:t>
      </w:r>
    </w:p>
    <w:p>
      <w:pPr>
        <w:pStyle w:val="ListBullet"/>
        <w:spacing w:after="40"/>
      </w:pPr>
      <w:r>
        <w:t>Implementar recomendaciones técnicas razonables cuando su omisión cause o prolongue el incidente.</w:t>
      </w:r>
    </w:p>
    <w:p>
      <w:pPr>
        <w:pStyle w:val="Heading1"/>
      </w:pPr>
      <w:r>
        <w:t>14. Relación con otros documentos</w:t>
      </w:r>
    </w:p>
    <w:p>
      <w:r>
        <w:t>Este SLA complementa los Términos Generales, la Política de Soporte y la Política de Respaldos. En materia de disponibilidad y niveles de servicio, prevalece la propuesta comercial y luego este SLA. Las limitaciones de responsabilidad de los Términos Generales se mantienen plenamente aplicables.</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SYSTCOM-SLA-2026  |  Versión 1.0 - septiembre 2026  |  Página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6666"/>
        <w:sz w:val="17"/>
      </w:rPr>
      <w:t>SYSTCOM LTDA.  |  Marco Contractual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F28C28"/>
      <w:sz w:val="30"/>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w:hAnsi="Aptos"/>
      <w:b/>
      <w:bCs/>
      <w:color w:val="2B2B2B"/>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b/>
      <w:bCs/>
      <w:color w:val="66666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ptos Display" w:hAnsi="Aptos Display"/>
      <w:b/>
      <w:color w:val="2B2B2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after="80"/>
    </w:pPr>
    <w:rPr>
      <w:rFonts w:ascii="Aptos" w:hAnsi="Aptos"/>
      <w:color w:val="66666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