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Display" w:hAnsi="Aptos Display"/>
          <w:b/>
          <w:color w:val="F28C28"/>
          <w:sz w:val="44"/>
        </w:rPr>
        <w:t>SYSTCOM</w:t>
      </w:r>
    </w:p>
    <w:p>
      <w:pPr>
        <w:pStyle w:val="Title"/>
      </w:pPr>
      <w:r>
        <w:t>TÉRMINOS Y CONDICIONES GENERALES DE PRESTACIÓN DE SERVICIOS INFORMÁTICOS</w:t>
      </w:r>
    </w:p>
    <w:p>
      <w:pPr>
        <w:jc w:val="left"/>
      </w:pPr>
      <w:r>
        <w:rPr>
          <w:rFonts w:ascii="Aptos" w:hAnsi="Aptos"/>
          <w:color w:val="666666"/>
          <w:sz w:val="24"/>
        </w:rPr>
        <w:t>Servicios SaaS, Odoo/ERP, infraestructura, soporte, desarrollo, integración y servicios profesionales</w:t>
      </w:r>
    </w:p>
    <w:p/>
    <w:tbl>
      <w:tblPr>
        <w:tblStyle w:val="TableGrid"/>
        <w:tblW w:type="auto" w:w="0"/>
        <w:jc w:val="left"/>
        <w:tblLook w:firstColumn="1" w:firstRow="1" w:lastColumn="0" w:lastRow="0" w:noHBand="0" w:noVBand="1" w:val="04A0"/>
      </w:tblPr>
      <w:tblGrid>
        <w:gridCol w:w="4968"/>
        <w:gridCol w:w="4968"/>
      </w:tblGrid>
      <w:tr>
        <w:tc>
          <w:tcPr>
            <w:tcW w:type="dxa" w:w="4968"/>
            <w:shd w:fill="F4F4F4"/>
            <w:vAlign w:val="center"/>
          </w:tcPr>
          <w:p>
            <w:r>
              <w:rPr>
                <w:rFonts w:ascii="Aptos" w:hAnsi="Aptos"/>
                <w:b w:val="0"/>
                <w:sz w:val="19"/>
              </w:rPr>
              <w:t>Proveedor</w:t>
            </w:r>
          </w:p>
        </w:tc>
        <w:tc>
          <w:tcPr>
            <w:tcW w:type="dxa" w:w="4968"/>
            <w:vAlign w:val="center"/>
          </w:tcPr>
          <w:p>
            <w:r>
              <w:rPr>
                <w:rFonts w:ascii="Aptos" w:hAnsi="Aptos"/>
                <w:b w:val="0"/>
                <w:sz w:val="19"/>
              </w:rPr>
              <w:t>SYSTCOM LTDA. - RUT 76.559.505-3</w:t>
            </w:r>
          </w:p>
        </w:tc>
      </w:tr>
      <w:tr>
        <w:tc>
          <w:tcPr>
            <w:tcW w:type="dxa" w:w="4968"/>
            <w:shd w:fill="F4F4F4"/>
            <w:vAlign w:val="center"/>
          </w:tcPr>
          <w:p>
            <w:r>
              <w:rPr>
                <w:rFonts w:ascii="Aptos" w:hAnsi="Aptos"/>
                <w:b w:val="0"/>
                <w:sz w:val="19"/>
              </w:rPr>
              <w:t>Versión</w:t>
            </w:r>
          </w:p>
        </w:tc>
        <w:tc>
          <w:tcPr>
            <w:tcW w:type="dxa" w:w="4968"/>
            <w:vAlign w:val="center"/>
          </w:tcPr>
          <w:p>
            <w:r>
              <w:rPr>
                <w:rFonts w:ascii="Aptos" w:hAnsi="Aptos"/>
                <w:b w:val="0"/>
                <w:sz w:val="19"/>
              </w:rPr>
              <w:t>1.0 - septiembre 2026</w:t>
            </w:r>
          </w:p>
        </w:tc>
      </w:tr>
      <w:tr>
        <w:tc>
          <w:tcPr>
            <w:tcW w:type="dxa" w:w="4968"/>
            <w:shd w:fill="F4F4F4"/>
            <w:vAlign w:val="center"/>
          </w:tcPr>
          <w:p>
            <w:r>
              <w:rPr>
                <w:rFonts w:ascii="Aptos" w:hAnsi="Aptos"/>
                <w:b w:val="0"/>
                <w:sz w:val="19"/>
              </w:rPr>
              <w:t>Aplicación</w:t>
            </w:r>
          </w:p>
        </w:tc>
        <w:tc>
          <w:tcPr>
            <w:tcW w:type="dxa" w:w="4968"/>
            <w:vAlign w:val="center"/>
          </w:tcPr>
          <w:p>
            <w:r>
              <w:rPr>
                <w:rFonts w:ascii="Aptos" w:hAnsi="Aptos"/>
                <w:b w:val="0"/>
                <w:sz w:val="19"/>
              </w:rPr>
              <w:t>Servicios informáticos, ERP/Odoo, SaaS, cloud, infraestructura administrada, soporte, desarrollo e integraciones, según propuesta comercial.</w:t>
            </w:r>
          </w:p>
        </w:tc>
      </w:tr>
      <w:tr>
        <w:tc>
          <w:tcPr>
            <w:tcW w:type="dxa" w:w="4968"/>
            <w:shd w:fill="F4F4F4"/>
            <w:vAlign w:val="center"/>
          </w:tcPr>
          <w:p>
            <w:r>
              <w:rPr>
                <w:rFonts w:ascii="Aptos" w:hAnsi="Aptos"/>
                <w:b w:val="0"/>
                <w:sz w:val="19"/>
              </w:rPr>
              <w:t>Estado</w:t>
            </w:r>
          </w:p>
        </w:tc>
        <w:tc>
          <w:tcPr>
            <w:tcW w:type="dxa" w:w="4968"/>
            <w:vAlign w:val="center"/>
          </w:tcPr>
          <w:p>
            <w:r>
              <w:rPr>
                <w:rFonts w:ascii="Aptos" w:hAnsi="Aptos"/>
                <w:b w:val="0"/>
                <w:sz w:val="19"/>
              </w:rPr>
              <w:t>BORRADOR CONTRACTUAL PARA REVISIÓN LEGAL ANTES DE SU PUBLICACIÓN O FIRMA</w:t>
            </w:r>
          </w:p>
        </w:tc>
      </w:tr>
    </w:tbl>
    <w:p/>
    <w:p>
      <w:pPr>
        <w:pStyle w:val="LegalNote"/>
      </w:pPr>
      <w:r>
        <w:rPr>
          <w:b/>
        </w:rPr>
        <w:t xml:space="preserve">Nota: </w:t>
      </w:r>
      <w:r>
        <w:t>Este documento es una propuesta contractual de gestión de riesgos y operación tecnológica. Debe ser revisado por asesoría jurídica chilena antes de utilizarse como contrato definitivo. Cuando exista una propuesta comercial, orden de compra, SLA o anexo específico, éstos prevalecerán sólo respecto de la materia particular que regulen, conforme al orden de prelación definido en los Términos Generales.</w:t>
      </w:r>
    </w:p>
    <w:p>
      <w:r>
        <w:br w:type="page"/>
      </w:r>
    </w:p>
    <w:p>
      <w:pPr>
        <w:pStyle w:val="Heading1"/>
      </w:pPr>
      <w:r>
        <w:t>1. Objeto y alcance</w:t>
      </w:r>
    </w:p>
    <w:p>
      <w:r>
        <w:t>Los presentes Términos y Condiciones Generales (“Términos”) regulan la contratación y prestación por SYSTCOM LTDA. (“SYSTCOM”) de servicios informáticos, incluyendo, cuando corresponda, implementación y parametrización de ERP/Odoo, desarrollos, integraciones, soporte, mantenimiento, administración de infraestructura, alojamiento, servicios cloud o SaaS y demás servicios profesionales individualizados en la propuesta comercial, orden de servicio u orden de compra aceptada por el Cliente.</w:t>
      </w:r>
    </w:p>
    <w:p>
      <w:r>
        <w:t>La contratación no comprende servicios, niveles de disponibilidad, respaldos, atención fuera de horario, migraciones, licencias, infraestructura, desarrollos o prestaciones que no se encuentren expresamente incluidos en el alcance comercial aceptado.</w:t>
      </w:r>
    </w:p>
    <w:p>
      <w:pPr>
        <w:pStyle w:val="Heading1"/>
      </w:pPr>
      <w:r>
        <w:t>2. Documentos contractuales y orden de prelación</w:t>
      </w:r>
    </w:p>
    <w:p>
      <w:r>
        <w:t>La relación contractual se integra por los siguientes documentos, en el orden de prelación indicado respecto de materias incompatibles:</w:t>
      </w:r>
    </w:p>
    <w:p>
      <w:pPr>
        <w:pStyle w:val="ListNumber"/>
        <w:spacing w:after="40"/>
      </w:pPr>
      <w:r>
        <w:t>Propuesta comercial, orden de servicio, cotización u orden de compra aceptada por SYSTCOM, exclusivamente respecto del alcance, precio, plazo y condiciones particulares allí definidos.</w:t>
      </w:r>
    </w:p>
    <w:p>
      <w:pPr>
        <w:pStyle w:val="ListNumber"/>
        <w:spacing w:after="40"/>
      </w:pPr>
      <w:r>
        <w:t>Anexos o condiciones particulares expresamente firmados o aceptados para el servicio específico.</w:t>
      </w:r>
    </w:p>
    <w:p>
      <w:pPr>
        <w:pStyle w:val="ListNumber"/>
        <w:spacing w:after="40"/>
      </w:pPr>
      <w:r>
        <w:t>Acuerdo de Nivel de Servicio (SLA), cuando sea aplicable.</w:t>
      </w:r>
    </w:p>
    <w:p>
      <w:pPr>
        <w:pStyle w:val="ListNumber"/>
        <w:spacing w:after="40"/>
      </w:pPr>
      <w:r>
        <w:t>Anexo de Tratamiento de Datos Personales (DPA), para materias de tratamiento de datos personales.</w:t>
      </w:r>
    </w:p>
    <w:p>
      <w:pPr>
        <w:pStyle w:val="ListNumber"/>
        <w:spacing w:after="40"/>
      </w:pPr>
      <w:r>
        <w:t>Política de Respaldos y Continuidad Operacional, cuando el servicio incluya respaldo administrado.</w:t>
      </w:r>
    </w:p>
    <w:p>
      <w:pPr>
        <w:pStyle w:val="ListNumber"/>
        <w:spacing w:after="40"/>
      </w:pPr>
      <w:r>
        <w:t>Política de Soporte Técnico y Mesa de Ayuda.</w:t>
      </w:r>
    </w:p>
    <w:p>
      <w:pPr>
        <w:pStyle w:val="ListNumber"/>
        <w:spacing w:after="40"/>
      </w:pPr>
      <w:r>
        <w:t>Política de Uso Aceptable.</w:t>
      </w:r>
    </w:p>
    <w:p>
      <w:pPr>
        <w:pStyle w:val="ListNumber"/>
        <w:spacing w:after="40"/>
      </w:pPr>
      <w:r>
        <w:t>Los presentes Términos y Condiciones Generales.</w:t>
      </w:r>
    </w:p>
    <w:p>
      <w:r>
        <w:t>Las condiciones generales contenidas en una orden de compra del Cliente no modificarán estos Términos salvo aceptación expresa y escrita de SYSTCOM por un representante autorizado.</w:t>
      </w:r>
    </w:p>
    <w:p>
      <w:pPr>
        <w:pStyle w:val="Heading1"/>
      </w:pPr>
      <w:r>
        <w:t>3. Definiciones</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2160"/>
            <w:shd w:fill="F28C28"/>
          </w:tcPr>
          <w:p>
            <w:r>
              <w:rPr>
                <w:rFonts w:ascii="Aptos" w:hAnsi="Aptos"/>
                <w:b/>
                <w:color w:val="FFFFFF"/>
                <w:sz w:val="18"/>
              </w:rPr>
              <w:t>Término</w:t>
            </w:r>
          </w:p>
        </w:tc>
        <w:tc>
          <w:tcPr>
            <w:tcW w:type="dxa" w:w="8064"/>
            <w:shd w:fill="F28C28"/>
          </w:tcPr>
          <w:p>
            <w:r>
              <w:rPr>
                <w:rFonts w:ascii="Aptos" w:hAnsi="Aptos"/>
                <w:b/>
                <w:color w:val="FFFFFF"/>
                <w:sz w:val="18"/>
              </w:rPr>
              <w:t>Definición</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Cliente</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Persona jurídica o natural que contrata los servicios de SYSTCOM.</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Servicio</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Prestación individualizada en la propuesta comercial u orden aceptada.</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Software estándar</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Software desarrollado o licenciado por terceros, incluyendo Odoo Community, Odoo Enterprise, PostgreSQL, sistema operativo, bibliotecas y otros componentes.</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Desarrollo SYSTCOM</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Código, módulos, integraciones o configuraciones desarrollados o adaptados por SYSTCOM.</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Incidente</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Evento no planificado que degrada o impide una función incluida en el alcance contratado.</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Cambio</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Solicitud que modifica el alcance, comportamiento, configuración o diseño previamente aprobado.</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Ambiente productivo</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Entorno destinado a operación real del Cliente.</w:t>
            </w:r>
          </w:p>
        </w:tc>
      </w:tr>
      <w:tr>
        <w:trPr>
          <w:cantSplit/>
        </w:trPr>
        <w:tc>
          <w:tcPr>
            <w:tcW w:type="dxa" w:w="2160"/>
            <w:vAlign w:val="top"/>
            <w:tcBorders>
              <w:top w:val="single" w:sz="4" w:color="D9D9D9"/>
              <w:left w:val="single" w:sz="4" w:color="D9D9D9"/>
              <w:bottom w:val="single" w:sz="4" w:color="D9D9D9"/>
              <w:right w:val="single" w:sz="4" w:color="D9D9D9"/>
            </w:tcBorders>
          </w:tcPr>
          <w:p>
            <w:r>
              <w:rPr>
                <w:rFonts w:ascii="Aptos" w:hAnsi="Aptos"/>
                <w:sz w:val="17"/>
              </w:rPr>
              <w:t>Tercero</w:t>
            </w:r>
          </w:p>
        </w:tc>
        <w:tc>
          <w:tcPr>
            <w:tcW w:type="dxa" w:w="8064"/>
            <w:vAlign w:val="top"/>
            <w:tcBorders>
              <w:top w:val="single" w:sz="4" w:color="D9D9D9"/>
              <w:left w:val="single" w:sz="4" w:color="D9D9D9"/>
              <w:bottom w:val="single" w:sz="4" w:color="D9D9D9"/>
              <w:right w:val="single" w:sz="4" w:color="D9D9D9"/>
            </w:tcBorders>
          </w:tcPr>
          <w:p>
            <w:r>
              <w:rPr>
                <w:rFonts w:ascii="Aptos" w:hAnsi="Aptos"/>
                <w:sz w:val="17"/>
              </w:rPr>
              <w:t>Proveedor, fabricante, operador de telecomunicaciones, datacenter, plataforma, API o software no controlado por SYSTCOM.</w:t>
            </w:r>
          </w:p>
        </w:tc>
      </w:tr>
    </w:tbl>
    <w:p/>
    <w:p>
      <w:pPr>
        <w:pStyle w:val="Heading1"/>
      </w:pPr>
      <w:r>
        <w:t>4. Obligaciones de SYSTCOM</w:t>
      </w:r>
    </w:p>
    <w:p>
      <w:r>
        <w:t>SYSTCOM se obliga a ejecutar los servicios contratados con diligencia profesional y esfuerzos comercialmente razonables, utilizando prácticas acordes a la naturaleza del servicio y a las capacidades expresamente contratadas. En particular, cuando formen parte del alcance, SYSTCOM realizará actividades de instalación, configuración, parametrización, desarrollo, integración, despliegue, mantenimiento o soporte.</w:t>
      </w:r>
    </w:p>
    <w:p>
      <w:r>
        <w:t>SYSTCOM no asume una obligación de resultado absoluto ni garantiza que los servicios, el software o Internet funcionen de manera ininterrumpida, libre de errores, vulnerabilidades o incompatibilidades. Los compromisos específicos de disponibilidad, respuesta, recuperación o respaldo sólo serán exigibles cuando se encuentren expresamente incorporados en el plan, propuesta o SLA aplicable.</w:t>
      </w:r>
    </w:p>
    <w:p>
      <w:pPr>
        <w:pStyle w:val="Heading1"/>
      </w:pPr>
      <w:r>
        <w:t>5. Obligaciones del Cliente</w:t>
      </w:r>
    </w:p>
    <w:p>
      <w:pPr>
        <w:pStyle w:val="ListBullet"/>
        <w:spacing w:after="40"/>
      </w:pPr>
      <w:r>
        <w:t>Proporcionar información completa, correcta y oportuna, designar responsables funcionales y técnicos y mantener actualizados sus datos de contacto.</w:t>
      </w:r>
    </w:p>
    <w:p>
      <w:pPr>
        <w:pStyle w:val="ListBullet"/>
        <w:spacing w:after="40"/>
      </w:pPr>
      <w:r>
        <w:t>Validar requerimientos, configuraciones, migraciones, desarrollos, integraciones, informes, parametrizaciones y entregables antes de su uso productivo.</w:t>
      </w:r>
    </w:p>
    <w:p>
      <w:pPr>
        <w:pStyle w:val="ListBullet"/>
        <w:spacing w:after="40"/>
      </w:pPr>
      <w:r>
        <w:t>Mantener usuarios, roles, permisos, contraseñas y mecanismos de autenticación bajo prácticas seguras, sin compartir credenciales personales.</w:t>
      </w:r>
    </w:p>
    <w:p>
      <w:pPr>
        <w:pStyle w:val="ListBullet"/>
        <w:spacing w:after="40"/>
      </w:pPr>
      <w:r>
        <w:t>Contar con conectividad, equipos, redes locales, impresoras, dispositivos POS, sistemas operativos y demás componentes del lado Cliente compatibles con el servicio.</w:t>
      </w:r>
    </w:p>
    <w:p>
      <w:pPr>
        <w:pStyle w:val="ListBullet"/>
        <w:spacing w:after="40"/>
      </w:pPr>
      <w:r>
        <w:t>Mantener vigentes licencias, suscripciones y contratos de software o servicios de terceros que sean necesarios.</w:t>
      </w:r>
    </w:p>
    <w:p>
      <w:pPr>
        <w:pStyle w:val="ListBullet"/>
        <w:spacing w:after="40"/>
      </w:pPr>
      <w:r>
        <w:t>No intervenir directamente la infraestructura, código, base de datos o configuraciones críticas sin coordinación cuando éstas sean administradas por SYSTCOM.</w:t>
      </w:r>
    </w:p>
    <w:p>
      <w:pPr>
        <w:pStyle w:val="ListBullet"/>
        <w:spacing w:after="40"/>
      </w:pPr>
      <w:r>
        <w:t>Cumplir las leyes aplicables al contenido y datos que procesa y contar con las autorizaciones, bases de licitud y políticas requeridas para tratar datos personales.</w:t>
      </w:r>
    </w:p>
    <w:p>
      <w:pPr>
        <w:pStyle w:val="ListBullet"/>
        <w:spacing w:after="40"/>
      </w:pPr>
      <w:r>
        <w:t>Realizar controles internos suficientes para validar exactitud contable, tributaria, financiera, inventarios, precios, autorizaciones y resultados operacionales.</w:t>
      </w:r>
    </w:p>
    <w:p>
      <w:pPr>
        <w:pStyle w:val="ListBullet"/>
        <w:spacing w:after="40"/>
      </w:pPr>
      <w:r>
        <w:t>Mantener copias o mecanismos adicionales de conservación cuando requiera retenciones superiores a las incluidas en el servicio contratado.</w:t>
      </w:r>
    </w:p>
    <w:p>
      <w:pPr>
        <w:pStyle w:val="Heading1"/>
      </w:pPr>
      <w:r>
        <w:t>6. Software estándar, Odoo y servicios de terceros</w:t>
      </w:r>
    </w:p>
    <w:p>
      <w:r>
        <w:t>El Cliente reconoce que Odoo, PostgreSQL, sistemas operativos, bibliotecas, plataformas de pago, servicios tributarios, marketplaces, operadores logísticos, APIs, redes de telecomunicaciones y demás productos de terceros pueden experimentar cambios, indisponibilidades, errores, vulnerabilidades, limitaciones, cambios de API, obsolescencia o condiciones de licenciamiento que no dependen de SYSTCOM.</w:t>
      </w:r>
    </w:p>
    <w:p>
      <w:r>
        <w:t>SYSTCOM será responsable únicamente de las obligaciones que haya asumido respecto de la administración, configuración, integración o soporte de dichos componentes, y no responderá por defectos intrínsecos, decisiones del fabricante, cambios regulatorios o técnicos de terceros, interrupciones de sus plataformas ni pérdida de compatibilidad fuera del control razonable de SYSTCOM.</w:t>
      </w:r>
    </w:p>
    <w:p>
      <w:r>
        <w:t>Cuando un incidente tenga origen en un tercero, SYSTCOM podrá prestar coordinación o diagnóstico dentro del plan de soporte, pero la resolución final podrá depender del proveedor correspondiente. Los plazos de terceros no serán imputables a SYSTCOM.</w:t>
      </w:r>
    </w:p>
    <w:p>
      <w:pPr>
        <w:pStyle w:val="Heading1"/>
      </w:pPr>
      <w:r>
        <w:t>7. Implementaciones, proyectos, UAT y aceptación</w:t>
      </w:r>
    </w:p>
    <w:p>
      <w:r>
        <w:t>Los requerimientos y alcance serán los definidos en la propuesta y documentación de proyecto. Toda solicitud no contemplada será tratada como cambio de alcance y podrá requerir evaluación, cotización y reprogramación.</w:t>
      </w:r>
    </w:p>
    <w:p>
      <w:r>
        <w:t>Las entregas funcionales o técnicas deberán ser sometidas a pruebas de aceptación de usuario (UAT) por el Cliente. La aprobación expresa, la autorización de paso a producción o el uso productivo de una entrega constituirá aceptación respecto de las funcionalidades razonablemente verificables al momento de dicha aceptación, sin perjuicio de errores ocultos cubiertos por una garantía específica si ésta hubiese sido pactada.</w:t>
      </w:r>
    </w:p>
    <w:p>
      <w:r>
        <w:t>La carga, migración o transformación de datos será validada por el Cliente mediante muestras, totales de control y conciliaciones apropiadas. SYSTCOM no será responsable por inconsistencias de datos de origen, criterios no informados o decisiones de negocio no documentadas por el Cliente.</w:t>
      </w:r>
    </w:p>
    <w:p>
      <w:pPr>
        <w:pStyle w:val="Heading1"/>
      </w:pPr>
      <w:r>
        <w:t>8. Actualizaciones, mantenimiento y cambios de versión</w:t>
      </w:r>
    </w:p>
    <w:p>
      <w:r>
        <w:t>Las actualizaciones de seguridad, infraestructura o mantenimiento podrán ejecutarse conforme al SLA y políticas técnicas aplicables. Las migraciones mayores de versión de Odoo, cambios de arquitectura, refactorizaciones por obsolescencia, adaptación de módulos de terceros o adecuaciones originadas en cambios de APIs no se consideran incluidas salvo estipulación expresa.</w:t>
      </w:r>
    </w:p>
    <w:p>
      <w:r>
        <w:t>Las adaptaciones obligatorias de localización o normativa chilena sólo estarán incluidas cuando el Cliente mantenga vigente un servicio que expresamente las contemple y siempre dentro del alcance funcional soportado por SYSTCOM.</w:t>
      </w:r>
    </w:p>
    <w:p>
      <w:pPr>
        <w:pStyle w:val="Heading1"/>
      </w:pPr>
      <w:r>
        <w:t>9. Soporte y mesa de ayuda</w:t>
      </w:r>
    </w:p>
    <w:p>
      <w:r>
        <w:t>El soporte se regirá por la Política de Soporte Técnico y Mesa de Ayuda. Salvo contratación distinta, los tiempos informados corresponden a objetivos de primera respuesta y no a tiempos garantizados de resolución. Consultas funcionales, capacitación, corrección de datos, nuevos reportes, cambios de configuración, desarrollos, recuperación de errores de usuario o intervenciones de terceros podrán ser servicios adicionales.</w:t>
      </w:r>
    </w:p>
    <w:p>
      <w:pPr>
        <w:pStyle w:val="Heading1"/>
      </w:pPr>
      <w:r>
        <w:t>10. Alojamiento, disponibilidad y mantenimiento programado</w:t>
      </w:r>
    </w:p>
    <w:p>
      <w:r>
        <w:t>Cuando SYSTCOM administre infraestructura, utilizará esfuerzos técnicamente razonables para mantenerla disponible. El porcentaje de disponibilidad contractual, si lo hubiere, será exclusivamente el indicado en la propuesta o SLA aplicable y se calculará conforme a dicho documento.</w:t>
      </w:r>
    </w:p>
    <w:p>
      <w:r>
        <w:t>Las ventanas de mantenimiento planificado se procurarán comunicar con al menos 48 horas de anticipación cuando sea razonablemente posible y se ejecutarán preferentemente fuera del horario hábil del Cliente. Los mantenimientos de emergencia, medidas de seguridad o acciones necesarias para evitar un daño mayor podrán ejecutarse sin aviso previo.</w:t>
      </w:r>
    </w:p>
    <w:p>
      <w:pPr>
        <w:pStyle w:val="Heading1"/>
      </w:pPr>
      <w:r>
        <w:t>11. Respaldos, restauración y continuidad</w:t>
      </w:r>
    </w:p>
    <w:p>
      <w:r>
        <w:t>La existencia, frecuencia, retención, alcance, ubicación, RPO, RTO y cantidad de restauraciones se determinarán exclusivamente por el plan contratado y la Política de Respaldos y Continuidad. La mera existencia de copias operativas o snapshots no implica un servicio contractual de respaldo salvo que así se haya convenido.</w:t>
      </w:r>
    </w:p>
    <w:p>
      <w:r>
        <w:t>Ningún sistema de respaldo constituye garantía absoluta de recuperación ante toda causa de pérdida, corrupción, ransomware, error lógico o evento catastrófico. SYSTCOM responderá conforme a las obligaciones específicas del plan y a las limitaciones de responsabilidad de estos Términos.</w:t>
      </w:r>
    </w:p>
    <w:p>
      <w:pPr>
        <w:pStyle w:val="Heading1"/>
      </w:pPr>
      <w:r>
        <w:t>12. Seguridad de la información</w:t>
      </w:r>
    </w:p>
    <w:p>
      <w:r>
        <w:t>SYSTCOM aplicará medidas técnicas y organizativas apropiadas al riesgo, al estado de la técnica, a los costos de implementación y al alcance contratado. El Cliente reconoce que la seguridad es una responsabilidad compartida y que ningún mecanismo elimina completamente el riesgo de incidentes.</w:t>
      </w:r>
    </w:p>
    <w:p>
      <w:r>
        <w:t>SYSTCOM podrá bloquear temporalmente usuarios, conexiones, servicios, procesos o integraciones cuando exista evidencia razonable de compromiso, ataque, malware, abuso, consumo anómalo de recursos o riesgo para la infraestructura, el Cliente o terceros. Estas medidas se limitarán razonablemente al alcance y tiempo necesarios para contener el riesgo.</w:t>
      </w:r>
    </w:p>
    <w:p>
      <w:pPr>
        <w:pStyle w:val="Heading1"/>
      </w:pPr>
      <w:r>
        <w:t>13. Datos del Cliente y confidencialidad</w:t>
      </w:r>
    </w:p>
    <w:p>
      <w:r>
        <w:t>El Cliente conserva los derechos que le correspondan sobre sus datos y contenido. SYSTCOM no adquiere propiedad sobre los datos de negocio del Cliente por el hecho de alojarlos o tratarlos. SYSTCOM utilizará dichos datos únicamente para prestar, asegurar, mantener y soportar los servicios, cumplir instrucciones documentadas o atender obligaciones legales aplicables.</w:t>
      </w:r>
    </w:p>
    <w:p>
      <w:r>
        <w:t>Ambas partes mantendrán confidencial la información técnica, comercial, financiera o de negocio de la otra parte a la que accedan con ocasión del contrato y aplicarán medidas razonables para evitar accesos o divulgaciones no autorizadas. Esta obligación subsistirá después del término del contrato por el período exigido por la ley o, a falta de norma, mientras la información mantenga carácter confidencial.</w:t>
      </w:r>
    </w:p>
    <w:p>
      <w:pPr>
        <w:pStyle w:val="Heading1"/>
      </w:pPr>
      <w:r>
        <w:t>14. Protección de datos personales</w:t>
      </w:r>
    </w:p>
    <w:p>
      <w:r>
        <w:t>Cuando SYSTCOM trate datos personales por cuenta del Cliente, las partes se sujetarán al Anexo de Tratamiento de Datos Personales (DPA). Como regla general, el Cliente determinará las finalidades y medios esenciales del tratamiento y SYSTCOM actuará como encargado respecto de los tratamientos necesarios para prestar el servicio, salvo que una operación específica determine jurídicamente otro rol.</w:t>
      </w:r>
    </w:p>
    <w:p>
      <w:r>
        <w:t>El Cliente será responsable de informar a los titulares, definir la base de licitud, atender derechos y determinar la legitimidad de la información que incorpora al sistema. SYSTCOM prestará la cooperación razonablemente prevista en el DPA.</w:t>
      </w:r>
    </w:p>
    <w:p>
      <w:pPr>
        <w:pStyle w:val="Heading1"/>
      </w:pPr>
      <w:r>
        <w:t>15. Propiedad intelectual y licencias</w:t>
      </w:r>
    </w:p>
    <w:p>
      <w:r>
        <w:t>Cada parte conserva la propiedad de sus materiales, metodologías, marcas, herramientas, know-how y software preexistente. Los derechos sobre Odoo y demás software de terceros pertenecen a sus respectivos titulares y se rigen por sus licencias.</w:t>
      </w:r>
    </w:p>
    <w:p>
      <w:r>
        <w:t>Salvo transferencia expresa y escrita en la propuesta comercial, los componentes reutilizables, frameworks, librerías, conectores genéricos, plantillas, utilitarios, metodologías y mejoras de propósito general desarrollados por SYSTCOM seguirán siendo de SYSTCOM. El Cliente recibirá, una vez pagados los servicios, una licencia de uso interno sobre los desarrollos específicos entregados en la medida necesaria para operar la solución contratada, sin perjuicio de las licencias de terceros aplicables.</w:t>
      </w:r>
    </w:p>
    <w:p>
      <w:r>
        <w:t>Los datos, documentos y contenidos aportados por el Cliente seguirán siendo de su propiedad o de sus respectivos titulares. El Cliente garantiza que cuenta con derechos suficientes para que SYSTCOM los trate en la medida necesaria para prestar los servicios.</w:t>
      </w:r>
    </w:p>
    <w:p>
      <w:pPr>
        <w:pStyle w:val="Heading1"/>
      </w:pPr>
      <w:r>
        <w:t>16. Precio, facturación, impuestos y reajustes</w:t>
      </w:r>
    </w:p>
    <w:p>
      <w:r>
        <w:t>El precio y forma de pago serán los indicados en la propuesta comercial aceptada. Los impuestos, licencias de terceros, consumos extraordinarios, servicios fuera de alcance y gastos no incluidos serán de cargo del Cliente cuando corresponda.</w:t>
      </w:r>
    </w:p>
    <w:p>
      <w:r>
        <w:t>Los servicios recurrentes podrán reajustarse en la renovación o conforme al mecanismo expresamente establecido en la propuesta. SYSTCOM informará los cambios de tarifa con una anticipación razonable cuando no exista una fórmula de reajuste previamente pactada.</w:t>
      </w:r>
    </w:p>
    <w:p>
      <w:pPr>
        <w:pStyle w:val="Heading1"/>
      </w:pPr>
      <w:r>
        <w:t>17. Mora y suspensión</w:t>
      </w:r>
    </w:p>
    <w:p>
      <w:r>
        <w:t>Si una factura permanece impaga por más de quince (15) días corridos desde su vencimiento, o si existen dos o más facturas vencidas, SYSTCOM podrá suspender total o parcialmente los servicios previa notificación al contacto registrado, sin que dicha suspensión constituya incumplimiento de SYSTCOM ni indisponibilidad imputable para efectos de SLA.</w:t>
      </w:r>
    </w:p>
    <w:p>
      <w:r>
        <w:t>La restitución podrá condicionarse al pago total de las sumas vencidas y al cargo de reposición vigente. Salvo que la propuesta establezca otro monto, SYSTCOM podrá aplicar un cargo administrativo de reposición de hasta 0,5 UF por evento, en la medida permitida por la legislación aplicable.</w:t>
      </w:r>
    </w:p>
    <w:p>
      <w:pPr>
        <w:pStyle w:val="Heading1"/>
      </w:pPr>
      <w:r>
        <w:t>18. Duración, renovación y término</w:t>
      </w:r>
    </w:p>
    <w:p>
      <w:r>
        <w:t>Salvo que la propuesta establezca otra vigencia, los servicios recurrentes tendrán una duración de doce (12) meses y se renovarán automáticamente por períodos iguales, a menos que cualquiera de las partes comunique por escrito su intención de no renovar con al menos treinta (30) días corridos de anticipación al vencimiento.</w:t>
      </w:r>
    </w:p>
    <w:p>
      <w:r>
        <w:t>SYSTCOM podrá terminar o suspender el contrato ante incumplimiento grave no subsanado dentro de un plazo razonable después de notificado, uso ilegal o abusivo, riesgo grave de seguridad, insolvencia manifiesta o mora conforme a estos Términos. El Cliente deberá pagar todos los servicios efectivamente prestados y obligaciones devengadas hasta la fecha de término.</w:t>
      </w:r>
    </w:p>
    <w:p>
      <w:pPr>
        <w:pStyle w:val="Heading1"/>
      </w:pPr>
      <w:r>
        <w:t>19. Salida del servicio, devolución y eliminación de datos</w:t>
      </w:r>
    </w:p>
    <w:p>
      <w:r>
        <w:t>Al terminar un servicio de alojamiento administrado, el Cliente podrá solicitar, dentro de los treinta (30) días siguientes al término y sujeto al pago de obligaciones vencidas, una exportación estándar de los datos en el formato técnicamente disponible. Transformaciones, depuración, migración hacia terceros, documentación adicional o asistencia de transición podrán cotizarse separadamente.</w:t>
      </w:r>
    </w:p>
    <w:p>
      <w:r>
        <w:t>Vencido el período de recuperación contractual y cumplidas las obligaciones legales de conservación, SYSTCOM podrá eliminar los datos de sistemas productivos y, posteriormente, de los ciclos ordinarios de respaldo. Los plazos específicos del tratamiento de datos personales se regirán además por el DPA.</w:t>
      </w:r>
    </w:p>
    <w:p>
      <w:pPr>
        <w:pStyle w:val="Heading1"/>
      </w:pPr>
      <w:r>
        <w:t>20. Garantías y exclusiones</w:t>
      </w:r>
    </w:p>
    <w:p>
      <w:r>
        <w:t>SYSTCOM garantiza únicamente que prestará los servicios con diligencia profesional razonable y conforme al alcance contratado. No garantiza que el software satisfaga requerimientos no documentados, que todo error pueda ser corregido, que un tercero mantenga sus servicios o APIs, ni que la operación se encuentre libre de interrupciones o riesgos inherentes a tecnología, Internet y ciberseguridad.</w:t>
      </w:r>
    </w:p>
    <w:p>
      <w:r>
        <w:t>No constituyen incumplimiento de SYSTCOM las fallas originadas en actos u omisiones del Cliente, infraestructura del Cliente, terceros, Internet, energía, software fuera de soporte, versiones no recomendadas, modificaciones no autorizadas, credenciales comprometidas, datos defectuosos, fuerza mayor o causas excluidas por el SLA.</w:t>
      </w:r>
    </w:p>
    <w:p>
      <w:pPr>
        <w:pStyle w:val="Heading1"/>
      </w:pPr>
      <w:r>
        <w:t>21. Limitación de responsabilidad</w:t>
      </w:r>
    </w:p>
    <w:p>
      <w:r>
        <w:t>En la máxima medida permitida por la ley, la responsabilidad total y acumulada de SYSTCOM derivada de un servicio no excederá el cincuenta por ciento (50%) de las sumas netas efectivamente pagadas a SYSTCOM por el servicio directamente afectado durante los doce (12) meses inmediatamente anteriores al hecho que origine la reclamación. Si el servicio ha estado vigente menos de doce meses, se considerarán los pagos efectivamente realizados durante su vigencia.</w:t>
      </w:r>
    </w:p>
    <w:p>
      <w:r>
        <w:t>En ningún caso SYSTCOM será responsable por lucro cesante, pérdida de ventas, pérdida de utilidades, pérdida de oportunidad, daño reputacional, pérdida de productividad, interrupción de negocio ni daños indirectos, especiales, incidentales, punitivos o consecuenciales, en la máxima medida en que dichas exclusiones sean válidas conforme a la legislación aplicable.</w:t>
      </w:r>
    </w:p>
    <w:p>
      <w:r>
        <w:t>Las limitaciones anteriores no se aplicarán a responsabilidades que legalmente no puedan ser excluidas o limitadas, ni impedirán el ejercicio de derechos irrenunciables establecidos por la legislación aplicable.</w:t>
      </w:r>
    </w:p>
    <w:p>
      <w:pPr>
        <w:pStyle w:val="Heading1"/>
      </w:pPr>
      <w:r>
        <w:t>22. Responsabilidad del Cliente e indemnidad</w:t>
      </w:r>
    </w:p>
    <w:p>
      <w:r>
        <w:t>El Cliente será responsable por el contenido y datos que incorpore al servicio, por sus instrucciones, por el uso de sus usuarios y por el cumplimiento de las leyes aplicables a su actividad. En la medida permitida por la ley, el Cliente mantendrá indemne a SYSTCOM frente a reclamaciones de terceros originadas en contenido ilegal, infracción de propiedad intelectual, tratamiento de datos sin autorización, uso fraudulento o incumplimiento atribuible al Cliente, salvo en la proporción causada directamente por un incumplimiento imputable a SYSTCOM.</w:t>
      </w:r>
    </w:p>
    <w:p>
      <w:pPr>
        <w:pStyle w:val="Heading1"/>
      </w:pPr>
      <w:r>
        <w:t>23. Fuerza mayor</w:t>
      </w:r>
    </w:p>
    <w:p>
      <w:r>
        <w:t>Ninguna parte será responsable por retrasos o incumplimientos causados por hechos fuera de su control razonable, tales como terremotos, incendios, inundaciones, actos de autoridad, guerra, disturbios, pandemias, cortes eléctricos o de telecomunicaciones generalizados, fallas de datacenter o cloud de terceros, ataques DDoS, ransomware externo, fallas masivas de Internet u otros eventos imprevisibles o irresistibles. La parte afectada adoptará medidas razonables para mitigar sus efectos y reanudar la prestación cuando sea posible.</w:t>
      </w:r>
    </w:p>
    <w:p>
      <w:pPr>
        <w:pStyle w:val="Heading1"/>
      </w:pPr>
      <w:r>
        <w:t>24. Cambios a políticas y condiciones operativas</w:t>
      </w:r>
    </w:p>
    <w:p>
      <w:r>
        <w:t>SYSTCOM podrá actualizar políticas operativas, de seguridad, soporte o uso aceptable para reflejar cambios tecnológicos, regulatorios o de riesgo. Los cambios materiales que afecten obligaciones contractuales se comunicarán con al menos treinta (30) días de anticipación cuando ello sea razonablemente posible. Los cambios exigidos por ley o necesarios para responder a un riesgo de seguridad podrán aplicarse con menor anticipación.</w:t>
      </w:r>
    </w:p>
    <w:p>
      <w:pPr>
        <w:pStyle w:val="Heading1"/>
      </w:pPr>
      <w:r>
        <w:t>25. Notificaciones</w:t>
      </w:r>
    </w:p>
    <w:p>
      <w:r>
        <w:t>Las comunicaciones contractuales podrán efectuarse al correo electrónico y contactos registrados por las partes. El Cliente será responsable de mantenerlos actualizados. Las notificaciones de soporte se regirán por la Política de Soporte y no reemplazan las comunicaciones formales cuando la ley o el contrato exijan una forma específica.</w:t>
      </w:r>
    </w:p>
    <w:p>
      <w:pPr>
        <w:pStyle w:val="Heading1"/>
      </w:pPr>
      <w:r>
        <w:t>26. Ley aplicable, solución de controversias y domicilio</w:t>
      </w:r>
    </w:p>
    <w:p>
      <w:r>
        <w:t>Estos Términos se regirán por las leyes de la República de Chile. Salvo norma imperativa en contrario, las partes fijan domicilio en Santiago de Chile y someten las controversias a los tribunales ordinarios de justicia competentes de Santiago.</w:t>
      </w:r>
    </w:p>
    <w:p>
      <w:pPr>
        <w:pStyle w:val="Heading1"/>
      </w:pPr>
      <w:r>
        <w:t>27. Divisibilidad, no renuncia y acuerdo íntegro</w:t>
      </w:r>
    </w:p>
    <w:p>
      <w:r>
        <w:t>La invalidez de una disposición no afectará las restantes. La falta de ejercicio de un derecho no constituirá renuncia. Los documentos contractuales definidos en la cláusula 2 constituyen el acuerdo entre las partes respecto del objeto contratado y reemplazan entendimientos previos incompatibles sobre la misma materia.</w:t>
      </w:r>
    </w:p>
    <w:p>
      <w:pPr>
        <w:pStyle w:val="Heading1"/>
      </w:pPr>
      <w:r>
        <w:t>28. Aceptación</w:t>
      </w:r>
    </w:p>
    <w:p>
      <w:r>
        <w:t>Estos Términos podrán ser aceptados mediante firma física o electrónica, aceptación digital, orden de compra que haga referencia a ellos, contratación mediante propuesta comercial o inicio de prestación solicitado por el Cliente cuando se haya puesto a su disposición una copia o enlace a los mismos, en la medida permitida por la ley.</w:t>
      </w:r>
    </w:p>
    <w:p>
      <w:r>
        <w:t>Se recomienda que la propuesta comercial identifique expresamente la versión de estos Términos aplicable al contrato.</w:t>
      </w:r>
    </w:p>
    <w:p>
      <w:pPr>
        <w:pStyle w:val="Heading1"/>
      </w:pPr>
      <w:r>
        <w:t>ANEXO A. Matriz orientativa de responsabilidad</w:t>
      </w:r>
    </w:p>
    <w:tbl>
      <w:tblPr>
        <w:tblStyle w:val="TableGrid"/>
        <w:tblW w:type="auto" w:w="0"/>
        <w:jc w:val="center"/>
        <w:tblLook w:firstColumn="1" w:firstRow="1" w:lastColumn="0" w:lastRow="0" w:noHBand="0" w:noVBand="1" w:val="04A0"/>
      </w:tblPr>
      <w:tblGrid>
        <w:gridCol w:w="3312"/>
        <w:gridCol w:w="3312"/>
        <w:gridCol w:w="3312"/>
      </w:tblGrid>
      <w:tr>
        <w:trPr>
          <w:tblHeader w:val="true"/>
          <w:cantSplit/>
        </w:trPr>
        <w:tc>
          <w:tcPr>
            <w:tcW w:type="dxa" w:w="2448"/>
            <w:shd w:fill="F28C28"/>
          </w:tcPr>
          <w:p>
            <w:r>
              <w:rPr>
                <w:rFonts w:ascii="Aptos" w:hAnsi="Aptos"/>
                <w:b/>
                <w:color w:val="FFFFFF"/>
                <w:sz w:val="18"/>
              </w:rPr>
              <w:t>Componente</w:t>
            </w:r>
          </w:p>
        </w:tc>
        <w:tc>
          <w:tcPr>
            <w:tcW w:type="dxa" w:w="2448"/>
            <w:shd w:fill="F28C28"/>
          </w:tcPr>
          <w:p>
            <w:r>
              <w:rPr>
                <w:rFonts w:ascii="Aptos" w:hAnsi="Aptos"/>
                <w:b/>
                <w:color w:val="FFFFFF"/>
                <w:sz w:val="18"/>
              </w:rPr>
              <w:t>Responsabilidad principal</w:t>
            </w:r>
          </w:p>
        </w:tc>
        <w:tc>
          <w:tcPr>
            <w:tcW w:type="dxa" w:w="5328"/>
            <w:shd w:fill="F28C28"/>
          </w:tcPr>
          <w:p>
            <w:r>
              <w:rPr>
                <w:rFonts w:ascii="Aptos" w:hAnsi="Aptos"/>
                <w:b/>
                <w:color w:val="FFFFFF"/>
                <w:sz w:val="18"/>
              </w:rPr>
              <w:t>Alcance SYSTCOM</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Datos y decisiones de negocio</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Cliente</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Soporte técnico/funcional según plan; no sustituye controles internos del Cliente.</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Odoo estándar / software de terceros</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Fabricante/licenciante</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Diagnóstico, configuración y escalamiento según alcance; no controla roadmap ni defectos intrínsecos.</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Infraestructura administrada por SYSTCOM</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SYSTCOM</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Según plan, SLA y exclusiones contratadas.</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Desarrollo SYSTCOM</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SYSTCOM</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Según especificación aprobada, garantía/mantenimiento contratado y UAT.</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Integración con API externa</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Responsabilidad compartida</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SYSTCOM responde por su conector; disponibilidad y cambios de API corresponden al tercero.</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Red local, equipos, Internet del Cliente</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Cliente/proveedor local</w:t>
            </w:r>
          </w:p>
        </w:tc>
        <w:tc>
          <w:tcPr>
            <w:tcW w:type="dxa" w:w="5328"/>
            <w:vAlign w:val="top"/>
            <w:tcBorders>
              <w:top w:val="single" w:sz="4" w:color="D9D9D9"/>
              <w:left w:val="single" w:sz="4" w:color="D9D9D9"/>
              <w:bottom w:val="single" w:sz="4" w:color="D9D9D9"/>
              <w:right w:val="single" w:sz="4" w:color="D9D9D9"/>
            </w:tcBorders>
          </w:tcPr>
          <w:p>
            <w:r>
              <w:rPr>
                <w:rFonts w:ascii="Aptos" w:hAnsi="Aptos"/>
                <w:sz w:val="17"/>
              </w:rPr>
              <w:t>Diagnóstico básico sólo si está incluido.</w:t>
            </w:r>
          </w:p>
        </w:tc>
      </w:tr>
    </w:tbl>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SYSTCOM-TCG-2026  |  Versión 1.0 - septiembre 2026  |  Página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7"/>
      </w:rPr>
      <w:t>SYSTCOM LTDA.  |  Marco Contractual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F28C28"/>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2B2B2B"/>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66666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ptos Display" w:hAnsi="Aptos Display"/>
      <w:b/>
      <w:color w:val="2B2B2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80"/>
    </w:pPr>
    <w:rPr>
      <w:rFonts w:ascii="Aptos" w:hAnsi="Aptos"/>
      <w:color w:val="6666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